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w:t>
      </w:r>
      <w:r>
        <w:rPr>
          <w:rFonts w:hint="eastAsia" w:ascii="Arial" w:hAnsi="Arial" w:cs="Arial"/>
          <w:b/>
          <w:bCs/>
          <w:sz w:val="28"/>
          <w:szCs w:val="28"/>
          <w:lang w:val="en-US" w:eastAsia="zh-CN"/>
        </w:rPr>
        <w:t>8</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w:t>
      </w:r>
      <w:r>
        <w:rPr>
          <w:rFonts w:hint="eastAsia" w:ascii="Arial" w:hAnsi="Arial" w:cs="Arial"/>
          <w:b/>
          <w:bCs/>
          <w:sz w:val="28"/>
          <w:szCs w:val="28"/>
          <w:lang w:val="en-US" w:eastAsia="zh-CN"/>
        </w:rPr>
        <w:t xml:space="preserve"> </w:t>
      </w:r>
      <w:bookmarkStart w:id="5" w:name="_GoBack"/>
      <w:bookmarkEnd w:id="5"/>
      <w:r>
        <w:rPr>
          <w:rFonts w:hint="default" w:ascii="Arial" w:hAnsi="Arial" w:eastAsia="Batang" w:cs="Arial"/>
          <w:b/>
          <w:bCs/>
          <w:sz w:val="28"/>
          <w:szCs w:val="28"/>
          <w:lang w:val="en-US" w:eastAsia="en-US"/>
        </w:rPr>
        <w:t>R1-2406706</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Maastricht, NL, August 19</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23rd, 2024</w:t>
      </w:r>
    </w:p>
    <w:p>
      <w:pPr>
        <w:pStyle w:val="23"/>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3"/>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3"/>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3"/>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w:t>
      </w:r>
      <w:r>
        <w:rPr>
          <w:rFonts w:hint="eastAsia" w:cs="Times New Roman"/>
          <w:sz w:val="20"/>
          <w:szCs w:val="20"/>
          <w:lang w:val="en-US" w:eastAsia="zh-CN"/>
        </w:rPr>
        <w:t>7</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[1] on adaptive transmission of common signal or common channel were reached</w:t>
      </w:r>
      <w:r>
        <w:rPr>
          <w:rFonts w:hint="default" w:ascii="Times New Roman" w:hAnsi="Times New Roman"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sz w:val="20"/>
                <w:szCs w:val="20"/>
                <w:lang w:val="en-US" w:eastAsia="zh-CN"/>
              </w:rPr>
            </w:pPr>
            <w:r>
              <w:rPr>
                <w:rFonts w:hint="eastAsia" w:ascii="Times New Roman" w:hAnsi="Times New Roman"/>
                <w:sz w:val="20"/>
                <w:szCs w:val="20"/>
                <w:highlight w:val="green"/>
                <w:lang w:eastAsia="ko-KR"/>
              </w:rPr>
              <w:t>Agreement</w:t>
            </w:r>
            <w:r>
              <w:rPr>
                <w:rFonts w:hint="eastAsia" w:ascii="Times New Roman" w:hAnsi="Times New Roman"/>
                <w:sz w:val="20"/>
                <w:szCs w:val="20"/>
                <w:lang w:eastAsia="ko-KR"/>
              </w:rPr>
              <w:t xml:space="preserve">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PRACH in time-domain, support at least the following case(s)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Case 1: no time-domain overlap between the additional PRACH resources for NES-capable UEs and the PRACH resources for legacy UEs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Case 2: time-domain overlap but no overlap in frequency domain between the additional PRACH resources for NES-capable UEs and the PRACH resources for legacy UEs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Case 3: additional PRACH resources for NES-capable UEs and legacy PRACH resources overlap neither in time nor frequency domains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FFS: whether additional conditions are needed to support the above cases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Additional case whether full/partial overlap in both time and frequency is allowed</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Above does not preclu</w:t>
            </w:r>
            <w:r>
              <w:rPr>
                <w:rFonts w:hint="eastAsia" w:ascii="Times New Roman" w:hAnsi="Times New Roman"/>
                <w:color w:val="auto"/>
                <w:sz w:val="20"/>
                <w:szCs w:val="20"/>
                <w:lang w:eastAsia="ko-KR"/>
              </w:rPr>
              <w:t>de discussion for the case where the confi</w:t>
            </w:r>
            <w:r>
              <w:rPr>
                <w:rFonts w:hint="eastAsia" w:ascii="Times New Roman" w:hAnsi="Times New Roman"/>
                <w:sz w:val="20"/>
                <w:szCs w:val="20"/>
                <w:lang w:eastAsia="ko-KR"/>
              </w:rPr>
              <w:t>guration</w:t>
            </w:r>
            <w:r>
              <w:rPr>
                <w:rFonts w:hint="eastAsia"/>
                <w:sz w:val="20"/>
                <w:szCs w:val="20"/>
                <w:lang w:val="en-US" w:eastAsia="zh-CN"/>
              </w:rPr>
              <w:t xml:space="preserve"> </w:t>
            </w:r>
            <w:r>
              <w:rPr>
                <w:rFonts w:hint="eastAsia" w:ascii="Times New Roman" w:hAnsi="Times New Roman"/>
                <w:sz w:val="20"/>
                <w:szCs w:val="20"/>
                <w:lang w:eastAsia="ko-KR"/>
              </w:rPr>
              <w:t>for additional PRACH resources contains legacy PRACH resources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At least for the case where legacy ROs and additional ROs overlap in neither time nor frequency domain, for adaptation of PRACH in time-domain, the SSB-RO mapping rule for additional PRACH resources follows the legacy SSB-RO mapping rule.</w:t>
            </w:r>
          </w:p>
          <w:p>
            <w:pPr>
              <w:keepNext w:val="0"/>
              <w:keepLines w:val="0"/>
              <w:widowControl/>
              <w:numPr>
                <w:ilvl w:val="0"/>
                <w:numId w:val="3"/>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Mapping SS/PBCH block indexes to valid additional PRACH occasions provided by semi-static signalling follows the legacy mapping order for preamble/time resource/frequency/PRACH slot indexes.</w:t>
            </w:r>
          </w:p>
          <w:p>
            <w:pPr>
              <w:keepNext w:val="0"/>
              <w:keepLines w:val="0"/>
              <w:widowControl/>
              <w:numPr>
                <w:ilvl w:val="1"/>
                <w:numId w:val="3"/>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ko-KR"/>
              </w:rPr>
              <w:t>Note: This mapping is not impacted by time domain PRACH adaptation</w:t>
            </w:r>
          </w:p>
          <w:p>
            <w:pPr>
              <w:keepNext w:val="0"/>
              <w:keepLines w:val="0"/>
              <w:widowControl/>
              <w:numPr>
                <w:ilvl w:val="0"/>
                <w:numId w:val="3"/>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Validation rules for the additional PRACH resources follow the legacy validation rules for PRACH resources configured for legacy UEs.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
                <w:bCs/>
                <w:sz w:val="20"/>
                <w:szCs w:val="20"/>
                <w:lang w:val="en-US" w:eastAsia="ko-KR"/>
              </w:rPr>
            </w:pPr>
            <w:r>
              <w:rPr>
                <w:rFonts w:hint="eastAsia" w:ascii="Times New Roman" w:hAnsi="Times New Roman"/>
                <w:b/>
                <w:bCs/>
                <w:sz w:val="20"/>
                <w:szCs w:val="20"/>
                <w:lang w:val="en-US" w:eastAsia="ko-KR"/>
              </w:rPr>
              <w:t>Conclusion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ko-KR"/>
              </w:rPr>
            </w:pPr>
            <w:r>
              <w:rPr>
                <w:rFonts w:hint="eastAsia" w:ascii="Times New Roman" w:hAnsi="Times New Roman"/>
                <w:sz w:val="20"/>
                <w:szCs w:val="20"/>
                <w:lang w:val="en-US" w:eastAsia="ko-KR"/>
              </w:rPr>
              <w:t>There is no consensus in RAN1 on the support of PRACH adaptation in spatial domain.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adaptation of SSB in time-domain, Option 1 is supported</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1: Adaptation of SSB burst periodicity using one or more SSB burst periodicity value(s)</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Note: Using Option 2 to realize Option 1 is not precluded</w:t>
            </w:r>
          </w:p>
          <w:p>
            <w:pPr>
              <w:keepNext w:val="0"/>
              <w:keepLines w:val="0"/>
              <w:widowControl/>
              <w:numPr>
                <w:ilvl w:val="1"/>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Option 2: Adaptation based on two SSB configurations [where up to two configurations can be active]</w:t>
            </w:r>
          </w:p>
          <w:p>
            <w:pPr>
              <w:keepNext w:val="0"/>
              <w:keepLines w:val="0"/>
              <w:widowControl/>
              <w:numPr>
                <w:ilvl w:val="2"/>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details of the differences between the two SSB configurations, e.g. two different periodicities</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FFS: Details including applicable scenarios </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Support of Cell DTX for connected mode UEs for 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the additional PRACH resources are configured based on at least: </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 PRACH configuration index </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FFS: whether the PRACH configuration index is same and/or different from the PRACH configuration index for the legacy PRACH resources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Study further the following</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When the PRACH configuration index for the additional PRACH resources is same as the PRACH configuration index for the legacy resource, </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Additional parameter(s) for determining the additional PRACH resources e.g.</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Scaled/adjusted PRACH configuration period </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Additional timing offset</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Adjusting the parameters (e.g., (x, y) value and slot number) of the PRACH configuration </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Muting/masking ROs</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When the PRACH configuration index for the additional PRACH resources is different from the PRACH configuration index for the legacy resource</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Additional mechanisms (if any) for determining the additional PRACH resources e.g. </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Muting/masking ROs (e.g. for the case when the PRACH configuration index for the additional PRACH resources contains legacy resources)</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Additional parameters to facilitate condensed/cluster RACH resources in time-domain (including whether needed)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the adaptation mechanism for additional PRACH resources, study further the following: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Option 1: Higher layer signalling (with potential enhancements) based PRACH resource adaptation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Option 2: L1-based adaptation to indicate whether the additional PRACH resources provided by semi-static signalling are available or not </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Strive to re-use existing DCI format(s)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3: Adaptation of PRACH transmission according to predefined condition(s)</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w:t>
            </w:r>
          </w:p>
          <w:p>
            <w:pPr>
              <w:keepNext w:val="0"/>
              <w:keepLines w:val="0"/>
              <w:widowControl/>
              <w:numPr>
                <w:ilvl w:val="0"/>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olor w:val="000000"/>
                <w:sz w:val="20"/>
                <w:szCs w:val="20"/>
                <w:lang w:val="en-US"/>
              </w:rPr>
            </w:pPr>
            <w:r>
              <w:rPr>
                <w:rFonts w:hint="eastAsia" w:ascii="Times New Roman" w:hAnsi="Times New Roman"/>
                <w:color w:val="000000"/>
                <w:sz w:val="20"/>
                <w:szCs w:val="20"/>
                <w:lang w:eastAsia="zh-CN"/>
              </w:rPr>
              <w:t>Option 4-rev1: L1-based adaptation to indicate whether a subset of the additional PRACH resources provided by semi-static signalling are available or not </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olor w:val="000000"/>
                <w:sz w:val="20"/>
                <w:szCs w:val="20"/>
                <w:lang w:val="en-US"/>
              </w:rPr>
            </w:pPr>
            <w:r>
              <w:rPr>
                <w:rFonts w:hint="eastAsia" w:ascii="Times New Roman" w:hAnsi="Times New Roman"/>
                <w:color w:val="000000"/>
                <w:sz w:val="20"/>
                <w:szCs w:val="20"/>
                <w:lang w:eastAsia="zh-CN"/>
              </w:rPr>
              <w:t>FFS: whether the subset of the additional PRACH resources is in RO level / SSB-to-RO mapping cycle level/PRACH association period level/PRACH association pattern period level for time-domain PRACH adaptation </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olor w:val="000000"/>
                <w:sz w:val="20"/>
                <w:szCs w:val="20"/>
                <w:lang w:val="en-US"/>
              </w:rPr>
            </w:pPr>
            <w:r>
              <w:rPr>
                <w:rFonts w:hint="eastAsia" w:ascii="Times New Roman" w:hAnsi="Times New Roman"/>
                <w:color w:val="000000"/>
                <w:sz w:val="20"/>
                <w:szCs w:val="20"/>
                <w:lang w:eastAsia="zh-CN"/>
              </w:rPr>
              <w:t>Strive to re-use existing DCI format(s)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Option 5: Enhanced cell DRX</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after="0" w:line="360" w:lineRule="auto"/>
        <w:jc w:val="both"/>
        <w:rPr>
          <w:rFonts w:hint="eastAsia"/>
          <w:b w:val="0"/>
          <w:bCs w:val="0"/>
          <w:sz w:val="20"/>
          <w:szCs w:val="20"/>
          <w:lang w:val="en-US" w:eastAsia="zh-CN"/>
        </w:rPr>
      </w:pPr>
      <w:r>
        <w:rPr>
          <w:rFonts w:hint="eastAsia"/>
          <w:b w:val="0"/>
          <w:bCs w:val="0"/>
          <w:sz w:val="20"/>
          <w:szCs w:val="20"/>
          <w:lang w:val="en-US" w:eastAsia="zh-CN"/>
        </w:rPr>
        <w:t>In this section, we mainly discuss the type of SSB and the SSB adaptation manner.</w:t>
      </w:r>
    </w:p>
    <w:p>
      <w:pPr>
        <w:spacing w:line="360" w:lineRule="auto"/>
        <w:jc w:val="both"/>
        <w:rPr>
          <w:rFonts w:hint="default"/>
          <w:lang w:val="en-US" w:eastAsia="zh-CN"/>
        </w:rPr>
      </w:pPr>
      <w:r>
        <w:rPr>
          <w:rFonts w:hint="eastAsia"/>
          <w:b w:val="0"/>
          <w:bCs w:val="0"/>
          <w:sz w:val="20"/>
          <w:szCs w:val="20"/>
          <w:lang w:val="en-US" w:eastAsia="zh-CN"/>
        </w:rPr>
        <w:t>At the beginning, regarding the type of SSB, the previous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0"/>
                <w:szCs w:val="20"/>
                <w:highlight w:val="green"/>
                <w:lang w:val="en-US" w:eastAsia="zh-CN"/>
              </w:rPr>
            </w:pPr>
            <w:r>
              <w:rPr>
                <w:rFonts w:hint="eastAsia"/>
                <w:sz w:val="20"/>
                <w:szCs w:val="20"/>
                <w:highlight w:val="green"/>
                <w:lang w:val="en-US" w:eastAsia="zh-CN"/>
              </w:rPr>
              <w:t xml:space="preserve"> </w:t>
            </w:r>
            <w:r>
              <w:rPr>
                <w:rFonts w:hint="eastAsia"/>
                <w:sz w:val="20"/>
                <w:szCs w:val="20"/>
                <w:highlight w:val="green"/>
                <w:lang w:eastAsia="zh-CN"/>
              </w:rPr>
              <w:t>Agreement</w:t>
            </w:r>
            <w:r>
              <w:rPr>
                <w:rFonts w:hint="eastAsia"/>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 xml:space="preserve">Adaptation mechanism(s) of SSB in time-domain is supported at least for one of the following scenario(s): </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cell with both legacy UEs and Rel-19 NES-capable UEs </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PCell (Connected mode)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A1: adaptation for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A2: adaptation for SSB that is not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A3: adaptation for SSB not on sync raster</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SCell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B1: adaptation for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B2: adaptation for SSB that is not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B3: adaptation for SSB not on sync raster</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fr-FR" w:eastAsia="zh-CN"/>
              </w:rPr>
            </w:pPr>
            <w:r>
              <w:rPr>
                <w:rFonts w:hint="eastAsia" w:ascii="Times New Roman" w:hAnsi="Times New Roman"/>
                <w:sz w:val="20"/>
                <w:szCs w:val="20"/>
                <w:lang w:val="fr-FR" w:eastAsia="zh-CN"/>
              </w:rPr>
              <w:t>FFS: Rel-19 NES-capable UE in idle/inactive mode</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Note: Impact to idle/inactive UEs shall be minimized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tc>
      </w:tr>
    </w:tbl>
    <w:p>
      <w:pPr>
        <w:spacing w:before="0" w:beforeLines="50" w:after="0" w:afterLines="50" w:line="360" w:lineRule="auto"/>
        <w:jc w:val="both"/>
        <w:rPr>
          <w:rFonts w:hint="default"/>
          <w:lang w:val="en-US" w:eastAsia="zh-CN"/>
        </w:rPr>
      </w:pPr>
      <w:r>
        <w:rPr>
          <w:rFonts w:hint="default"/>
          <w:lang w:val="en-US" w:eastAsia="zh-CN"/>
        </w:rPr>
        <w:t>With respect to the above agreement, we present our views in two main aspects</w:t>
      </w:r>
      <w:r>
        <w:rPr>
          <w:rFonts w:hint="eastAsia"/>
          <w:lang w:val="en-US" w:eastAsia="zh-CN"/>
        </w:rPr>
        <w:t>:</w:t>
      </w:r>
    </w:p>
    <w:p>
      <w:pPr>
        <w:spacing w:before="0" w:beforeLines="50" w:after="0" w:afterLines="50" w:line="360" w:lineRule="auto"/>
        <w:jc w:val="both"/>
        <w:rPr>
          <w:rFonts w:hint="default"/>
          <w:lang w:val="en-US" w:eastAsia="zh-CN"/>
        </w:rPr>
      </w:pPr>
      <w:r>
        <w:rPr>
          <w:rFonts w:hint="default"/>
          <w:lang w:val="en-US" w:eastAsia="zh-CN"/>
        </w:rPr>
        <w:t>First of all, Rel-19 NES-capable UEs in idle/active mode usually operate on the initial BWP, so the SSB they mainly rely on is the CD-SSB.In other words, if</w:t>
      </w:r>
      <w:r>
        <w:rPr>
          <w:rFonts w:hint="eastAsia"/>
          <w:lang w:val="en-US" w:eastAsia="zh-CN"/>
        </w:rPr>
        <w:t xml:space="preserve"> </w:t>
      </w:r>
      <w:r>
        <w:rPr>
          <w:rFonts w:hint="default"/>
          <w:lang w:val="en-US" w:eastAsia="zh-CN"/>
        </w:rPr>
        <w:t>Rel-19 NES-capable UEs in idle/active mode support SSB adaptation, the SSB adaptation should be mainly the adaptation for CD-SSB. However, since CD-SSB is mainly used for cell reselection or camp</w:t>
      </w:r>
      <w:r>
        <w:rPr>
          <w:rFonts w:hint="eastAsia"/>
          <w:lang w:val="en-US" w:eastAsia="zh-CN"/>
        </w:rPr>
        <w:t>ing</w:t>
      </w:r>
      <w:r>
        <w:rPr>
          <w:rFonts w:hint="default"/>
          <w:lang w:val="en-US" w:eastAsia="zh-CN"/>
        </w:rPr>
        <w:t>, the adaptation for CD-SSB may affect the mobility of other UEs. Therefore, CD-SSB adaptation should not be supported for Rel-19 NES capable UEs in idle/inactive mode.</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w:t>
      </w:r>
      <w:r>
        <w:rPr>
          <w:rFonts w:hint="default"/>
          <w:b/>
          <w:sz w:val="21"/>
          <w:szCs w:val="21"/>
          <w:lang w:val="en-US" w:eastAsia="zh-CN"/>
        </w:rPr>
        <w:t>CD-SSB adaptation of Rel-19 NES-capable UEs in idle/inactive mode should not be supported.</w:t>
      </w:r>
    </w:p>
    <w:p>
      <w:pPr>
        <w:spacing w:before="0" w:beforeLines="50" w:after="0" w:afterLines="50" w:line="360" w:lineRule="auto"/>
        <w:jc w:val="both"/>
        <w:rPr>
          <w:rFonts w:hint="eastAsia"/>
          <w:lang w:val="en-US" w:eastAsia="zh-CN"/>
        </w:rPr>
      </w:pPr>
      <w:r>
        <w:rPr>
          <w:rFonts w:hint="eastAsia"/>
          <w:lang w:val="en-US" w:eastAsia="zh-CN"/>
        </w:rPr>
        <w:t xml:space="preserve">Secondly, when the Rel-19 NES-capable UE is in connected mode and the cell is the </w:t>
      </w:r>
      <w:r>
        <w:rPr>
          <w:rFonts w:hint="eastAsia" w:ascii="Times New Roman" w:hAnsi="Times New Roman"/>
          <w:sz w:val="20"/>
          <w:szCs w:val="20"/>
          <w:lang w:eastAsia="zh-CN"/>
        </w:rPr>
        <w:t xml:space="preserve">PCell </w:t>
      </w:r>
      <w:r>
        <w:rPr>
          <w:rFonts w:hint="eastAsia"/>
          <w:lang w:val="en-US" w:eastAsia="zh-CN"/>
        </w:rPr>
        <w:t>, if the adaptation for the SSB is for the CD-SSB, e.g., by extending the transmission period of the CD-SSB, the delay for the UE to perform an initial access to that cell will increase. On the contrary, if the adaptation for SSB is for SSB not on sync raster, the initial access of the UE to the cell will not be affected. Similarly, for the Rel-19 NES-capable UE's SCell, since it may also be acting as the primary cell of another legacy UE, the adaptation of the SSB for this cell should also be the SSB not on sync raster to minimize the negative impact of the SSB adaptation operation on the other UEs performing cell search.</w:t>
      </w:r>
    </w:p>
    <w:p>
      <w:pPr>
        <w:spacing w:before="0" w:beforeLines="50" w:after="0" w:afterLines="50" w:line="360" w:lineRule="auto"/>
        <w:jc w:val="both"/>
        <w:rPr>
          <w:rFonts w:hint="eastAsia"/>
          <w:lang w:val="en-US" w:eastAsia="zh-CN"/>
        </w:rPr>
      </w:pPr>
    </w:p>
    <w:p>
      <w:pPr>
        <w:spacing w:before="0" w:beforeLines="50" w:after="0" w:afterLines="50" w:line="360" w:lineRule="auto"/>
        <w:jc w:val="both"/>
        <w:rPr>
          <w:rFonts w:hint="eastAsia"/>
          <w:lang w:val="en-US" w:eastAsia="zh-CN"/>
        </w:rPr>
      </w:pPr>
      <w:r>
        <w:rPr>
          <w:rFonts w:hint="eastAsia"/>
          <w:lang w:val="en-US" w:eastAsia="zh-CN"/>
        </w:rPr>
        <w:t>Secondly, when the Rel-19 NES-capable UE is in connected mode and its cell is the primary cell, the delay of the UE's initial access to the cell is increased, if the SSB adaptation is for a CD-SSB (e.g. CD-SSB adaptation implies an extending of the transmission period of the CD-SSB). On the contrary, if the SSB adaptation is for SSB that is not on the sync raster, the initial cell access of the UE will not be affected. Similarly, for the SCell of a Rel-19 NES-capable UE, considering that it may also serve as the primary cell for another legacy UE, the SSB adaptation for that cell shall also be aimed at SSBs that are not on the sync raster to minimize the negative impact of the SSB adaptation operation on the other UEs that are performing the cell search.</w:t>
      </w:r>
    </w:p>
    <w:p>
      <w:pPr>
        <w:spacing w:before="0" w:beforeLines="50" w:after="0" w:afterLines="50" w:line="360" w:lineRule="auto"/>
        <w:jc w:val="both"/>
        <w:rPr>
          <w:rFonts w:hint="eastAsia"/>
          <w:lang w:val="en-US" w:eastAsia="zh-CN"/>
        </w:rPr>
      </w:pPr>
      <w:r>
        <w:rPr>
          <w:rFonts w:hint="eastAsia"/>
          <w:lang w:val="en-US" w:eastAsia="zh-CN"/>
        </w:rPr>
        <w:t xml:space="preserve">Therefore, the Rel-19 NES-capable UE's PCell and Rel-19 NES-capable UE's SCell can support </w:t>
      </w:r>
      <w:r>
        <w:rPr>
          <w:rFonts w:hint="eastAsia" w:ascii="Times New Roman" w:hAnsi="Times New Roman"/>
          <w:sz w:val="20"/>
          <w:szCs w:val="20"/>
          <w:lang w:eastAsia="zh-CN"/>
        </w:rPr>
        <w:t>adaptation for SSB not on sync raster</w:t>
      </w:r>
      <w:r>
        <w:rPr>
          <w:rFonts w:hint="eastAsia"/>
          <w:lang w:val="en-US" w:eastAsia="zh-CN"/>
        </w:rPr>
        <w: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A</w:t>
      </w:r>
      <w:r>
        <w:rPr>
          <w:rFonts w:hint="default"/>
          <w:b/>
          <w:sz w:val="21"/>
          <w:szCs w:val="21"/>
          <w:lang w:val="en-US" w:eastAsia="zh-CN"/>
        </w:rPr>
        <w:t>daptation for SSB not on sync raster</w:t>
      </w:r>
      <w:r>
        <w:rPr>
          <w:rFonts w:hint="eastAsia"/>
          <w:b/>
          <w:sz w:val="21"/>
          <w:szCs w:val="21"/>
          <w:lang w:val="en-US" w:eastAsia="zh-CN"/>
        </w:rPr>
        <w:t xml:space="preserve"> can be supported for </w:t>
      </w:r>
      <w:r>
        <w:rPr>
          <w:rFonts w:hint="default" w:ascii="Times New Roman" w:hAnsi="Times New Roman"/>
          <w:b/>
          <w:sz w:val="21"/>
          <w:szCs w:val="21"/>
          <w:lang w:val="en-US" w:eastAsia="zh-CN"/>
        </w:rPr>
        <w:t>Rel-19 NES-capable UE</w:t>
      </w:r>
      <w:r>
        <w:rPr>
          <w:rFonts w:hint="default"/>
          <w:b/>
          <w:sz w:val="21"/>
          <w:szCs w:val="21"/>
          <w:lang w:val="en-US" w:eastAsia="zh-CN"/>
        </w:rPr>
        <w:t>’</w:t>
      </w:r>
      <w:r>
        <w:rPr>
          <w:rFonts w:hint="default" w:ascii="Times New Roman" w:hAnsi="Times New Roman"/>
          <w:b/>
          <w:sz w:val="21"/>
          <w:szCs w:val="21"/>
          <w:lang w:val="en-US" w:eastAsia="zh-CN"/>
        </w:rPr>
        <w:t>s PCell</w:t>
      </w:r>
      <w:r>
        <w:rPr>
          <w:rFonts w:hint="default"/>
          <w:b/>
          <w:sz w:val="21"/>
          <w:szCs w:val="21"/>
          <w:lang w:val="en-US" w:eastAsia="zh-CN"/>
        </w:rPr>
        <w:t xml:space="preserve"> and </w:t>
      </w:r>
      <w:r>
        <w:rPr>
          <w:rFonts w:hint="default" w:ascii="Times New Roman" w:hAnsi="Times New Roman"/>
          <w:b/>
          <w:sz w:val="21"/>
          <w:szCs w:val="21"/>
          <w:lang w:val="en-US" w:eastAsia="zh-CN"/>
        </w:rPr>
        <w:t>Rel-19 NES-capable UE</w:t>
      </w:r>
      <w:r>
        <w:rPr>
          <w:rFonts w:hint="default"/>
          <w:b/>
          <w:sz w:val="21"/>
          <w:szCs w:val="21"/>
          <w:lang w:val="en-US" w:eastAsia="zh-CN"/>
        </w:rPr>
        <w:t>’</w:t>
      </w:r>
      <w:r>
        <w:rPr>
          <w:rFonts w:hint="default" w:ascii="Times New Roman" w:hAnsi="Times New Roman"/>
          <w:b/>
          <w:sz w:val="21"/>
          <w:szCs w:val="21"/>
          <w:lang w:val="en-US" w:eastAsia="zh-CN"/>
        </w:rPr>
        <w:t>s SCell</w:t>
      </w:r>
      <w:r>
        <w:rPr>
          <w:rFonts w:hint="default"/>
          <w:b/>
          <w:sz w:val="21"/>
          <w:szCs w:val="21"/>
          <w:lang w:val="en-US" w:eastAsia="zh-CN"/>
        </w:rPr>
        <w:t>.</w:t>
      </w:r>
    </w:p>
    <w:p>
      <w:pPr>
        <w:spacing w:before="0" w:beforeLines="50" w:after="0" w:afterLines="50" w:line="360" w:lineRule="auto"/>
        <w:jc w:val="both"/>
        <w:rPr>
          <w:rFonts w:hint="eastAsia"/>
          <w:b w:val="0"/>
          <w:sz w:val="20"/>
          <w:szCs w:val="20"/>
          <w:lang w:val="en-US" w:eastAsia="zh-CN"/>
        </w:rPr>
      </w:pPr>
      <w:r>
        <w:rPr>
          <w:rFonts w:hint="eastAsia"/>
          <w:b w:val="0"/>
          <w:bCs w:val="0"/>
          <w:sz w:val="20"/>
          <w:szCs w:val="20"/>
          <w:lang w:val="en-US" w:eastAsia="zh-CN"/>
        </w:rPr>
        <w:t>Regarding the SSB adaptation manner,</w:t>
      </w:r>
      <w:r>
        <w:rPr>
          <w:rFonts w:hint="eastAsia"/>
          <w:b w:val="0"/>
          <w:sz w:val="20"/>
          <w:szCs w:val="20"/>
          <w:lang w:val="en-US" w:eastAsia="zh-CN"/>
        </w:rPr>
        <w:t xml:space="preserve"> RAN1#117 meeting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For adaptation of SSB in time-domain, Option 1 is supported</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1: Adaptation of SSB burst periodicity using one or more SSB burst periodicity value(s)</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Note: Using Option 2 to realize Option 1 is not precluded</w:t>
            </w:r>
          </w:p>
          <w:p>
            <w:pPr>
              <w:keepNext w:val="0"/>
              <w:keepLines w:val="0"/>
              <w:widowControl/>
              <w:numPr>
                <w:ilvl w:val="1"/>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Option 2: Adaptation based on two SSB configurations [where up to two configurations can be active]</w:t>
            </w:r>
          </w:p>
          <w:p>
            <w:pPr>
              <w:keepNext w:val="0"/>
              <w:keepLines w:val="0"/>
              <w:widowControl/>
              <w:numPr>
                <w:ilvl w:val="2"/>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details of the differences between the two SSB configurations, e.g. two different periodicities</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FFS: Details including applicable scenarios </w:t>
            </w:r>
          </w:p>
          <w:p>
            <w:pPr>
              <w:keepNext w:val="0"/>
              <w:keepLines w:val="0"/>
              <w:widowControl/>
              <w:numPr>
                <w:ilvl w:val="0"/>
                <w:numId w:val="4"/>
              </w:numPr>
              <w:suppressLineNumbers w:val="0"/>
              <w:suppressAutoHyphens/>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Support of Cell DTX for connected mode UEs for SSB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20"/>
                <w:szCs w:val="20"/>
                <w:vertAlign w:val="baseline"/>
                <w:lang w:val="en-US" w:eastAsia="zh-CN"/>
              </w:rPr>
            </w:pPr>
          </w:p>
        </w:tc>
      </w:tr>
    </w:tbl>
    <w:p>
      <w:pPr>
        <w:spacing w:before="0" w:beforeLines="50" w:after="0" w:afterLines="50" w:line="360" w:lineRule="auto"/>
        <w:jc w:val="both"/>
        <w:rPr>
          <w:rFonts w:hint="eastAsia"/>
          <w:b w:val="0"/>
          <w:bCs w:val="0"/>
          <w:sz w:val="20"/>
          <w:szCs w:val="20"/>
          <w:lang w:val="en-US" w:eastAsia="zh-CN"/>
        </w:rPr>
      </w:pPr>
      <w:r>
        <w:rPr>
          <w:rFonts w:hint="default"/>
          <w:lang w:val="en-US" w:eastAsia="zh-CN"/>
        </w:rPr>
        <w:t>With respect to the above agreement, we present our views in two main aspects</w:t>
      </w:r>
      <w:r>
        <w:rPr>
          <w:rFonts w:hint="eastAsia"/>
          <w:lang w:val="en-US" w:eastAsia="zh-CN"/>
        </w:rPr>
        <w:t>:</w:t>
      </w:r>
    </w:p>
    <w:p>
      <w:p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First, the SSB burst period value should be defined. For example, the SSB burst period value can follow the legacy value such as {5ms, 10ms, 20ms, 40ms, 80ms, 160ms}. In addition, according to TR 38.864, simulation results from nine companies show that BS energy savings of 0.9% to 84.8% can be achieved by adjusting the SSB period above 20ms to 1280ms. Therefore, new longer SSB burst period values can be considered for better network energy savings.</w:t>
      </w:r>
    </w:p>
    <w:p>
      <w:p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Therefore, when adaptation of SSBs in the time domain is performed, it is necessary to prioritize the definition of the SSB period length and support the new longer SSB period values.</w:t>
      </w:r>
    </w:p>
    <w:p>
      <w:pPr>
        <w:spacing w:before="0" w:beforeLines="50" w:after="0" w:afterLines="50" w:line="360" w:lineRule="auto"/>
        <w:jc w:val="both"/>
        <w:rPr>
          <w:rFonts w:hint="eastAsia"/>
          <w:b w:val="0"/>
          <w:bCs w:val="0"/>
          <w:sz w:val="20"/>
          <w:szCs w:val="20"/>
          <w:lang w:val="en-US" w:eastAsia="zh-CN"/>
        </w:rPr>
      </w:pPr>
      <w:r>
        <w:rPr>
          <w:rFonts w:hint="eastAsia"/>
          <w:b w:val="0"/>
          <w:bCs w:val="0"/>
          <w:sz w:val="20"/>
          <w:szCs w:val="20"/>
          <w:lang w:val="en-US" w:eastAsia="zh-CN"/>
        </w:rPr>
        <w:t>Second, for Option 2, if up to two configurations are activated, one of the two SSB configurations should be the legacy SSB period to ensure that the SSB period can be switched at any time to allow the legacy UE to access the cell.</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necessary to prioritize the definition of the SSB period length</w:t>
      </w:r>
      <w:r>
        <w:rPr>
          <w:rFonts w:hint="eastAsia"/>
          <w:b/>
          <w:sz w:val="21"/>
          <w:szCs w:val="21"/>
          <w:lang w:val="en-US" w:eastAsia="zh-CN"/>
        </w:rPr>
        <w: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 xml:space="preserve">4  </w:t>
      </w:r>
      <w:r>
        <w:rPr>
          <w:rFonts w:hint="default"/>
          <w:b/>
          <w:sz w:val="21"/>
          <w:szCs w:val="21"/>
          <w:lang w:val="en-US" w:eastAsia="zh-CN"/>
        </w:rPr>
        <w:t>It is recommended that new longer SSB burst cycle values may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pStyle w:val="4"/>
        <w:spacing w:before="0" w:beforeLines="50" w:after="0" w:afterLines="50" w:line="360" w:lineRule="auto"/>
        <w:ind w:left="0" w:firstLine="0"/>
        <w:rPr>
          <w:rFonts w:hint="default"/>
          <w:sz w:val="28"/>
          <w:szCs w:val="28"/>
          <w:lang w:val="en-US" w:eastAsia="zh-CN"/>
        </w:rPr>
      </w:pPr>
      <w:r>
        <w:rPr>
          <w:rFonts w:hint="default"/>
          <w:sz w:val="28"/>
          <w:szCs w:val="28"/>
          <w:lang w:val="en-US" w:eastAsia="zh-CN"/>
        </w:rPr>
        <w:t>Adaptation of PRACH in time domain</w:t>
      </w:r>
    </w:p>
    <w:p>
      <w:pPr>
        <w:spacing w:before="0" w:beforeLines="50" w:after="0" w:afterLines="50" w:line="360" w:lineRule="auto"/>
        <w:jc w:val="both"/>
        <w:rPr>
          <w:rFonts w:hint="default"/>
          <w:sz w:val="20"/>
          <w:szCs w:val="20"/>
          <w:lang w:val="en-US" w:eastAsia="zh-CN"/>
        </w:rPr>
      </w:pPr>
      <w:r>
        <w:rPr>
          <w:rFonts w:hint="eastAsia"/>
          <w:sz w:val="20"/>
          <w:szCs w:val="20"/>
          <w:lang w:val="en-US" w:eastAsia="zh-CN"/>
        </w:rPr>
        <w:t>In this section, we mainly discuss the overlap between additional PRACH resources and legacy PRACH resources, as well as the adaptation mechanism for additional PRACH resources.</w:t>
      </w:r>
      <w:r>
        <w:rPr>
          <w:rFonts w:hint="default" w:ascii="Times New Roman" w:hAnsi="Times New Roman"/>
          <w:sz w:val="20"/>
          <w:szCs w:val="20"/>
          <w:lang w:val="en-US" w:eastAsia="zh-CN"/>
        </w:rPr>
        <w:t>,</w:t>
      </w:r>
    </w:p>
    <w:p>
      <w:pPr>
        <w:spacing w:before="0" w:beforeLines="50" w:after="0" w:afterLines="50" w:line="360" w:lineRule="auto"/>
        <w:jc w:val="both"/>
        <w:rPr>
          <w:rFonts w:hint="default"/>
          <w:sz w:val="20"/>
          <w:szCs w:val="20"/>
          <w:lang w:val="en-US" w:eastAsia="zh-CN"/>
        </w:rPr>
      </w:pPr>
      <w:r>
        <w:rPr>
          <w:rFonts w:hint="default"/>
          <w:sz w:val="20"/>
          <w:szCs w:val="20"/>
          <w:lang w:val="en-US" w:eastAsia="zh-CN"/>
        </w:rPr>
        <w:t xml:space="preserve">Regarding the overlap between the </w:t>
      </w:r>
      <w:r>
        <w:rPr>
          <w:rFonts w:hint="default" w:ascii="Times New Roman" w:hAnsi="Times New Roman"/>
          <w:sz w:val="20"/>
          <w:szCs w:val="20"/>
          <w:lang w:val="en-US" w:eastAsia="zh-CN"/>
        </w:rPr>
        <w:t xml:space="preserve">additional </w:t>
      </w:r>
      <w:r>
        <w:rPr>
          <w:rFonts w:hint="default"/>
          <w:sz w:val="20"/>
          <w:szCs w:val="20"/>
          <w:lang w:val="en-US" w:eastAsia="zh-CN"/>
        </w:rPr>
        <w:t xml:space="preserve">PRACH resources and </w:t>
      </w:r>
      <w:r>
        <w:rPr>
          <w:rFonts w:hint="default" w:ascii="Times New Roman" w:hAnsi="Times New Roman"/>
          <w:sz w:val="20"/>
          <w:szCs w:val="20"/>
          <w:lang w:val="en-US" w:eastAsia="zh-CN"/>
        </w:rPr>
        <w:t>legacy</w:t>
      </w:r>
      <w:r>
        <w:rPr>
          <w:rFonts w:hint="eastAsia"/>
          <w:sz w:val="20"/>
          <w:szCs w:val="20"/>
          <w:lang w:val="en-US" w:eastAsia="zh-CN"/>
        </w:rPr>
        <w:t xml:space="preserve"> </w:t>
      </w:r>
      <w:r>
        <w:rPr>
          <w:rFonts w:hint="default"/>
          <w:sz w:val="20"/>
          <w:szCs w:val="20"/>
          <w:lang w:val="en-US" w:eastAsia="zh-CN"/>
        </w:rPr>
        <w:t>PRACH resources, the RAN1#117 meeting reached the following agreement</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sz w:val="20"/>
                <w:szCs w:val="20"/>
                <w:lang w:val="en-US" w:eastAsia="zh-CN"/>
              </w:rPr>
            </w:pPr>
            <w:r>
              <w:rPr>
                <w:rFonts w:hint="eastAsia" w:ascii="Times New Roman" w:hAnsi="Times New Roman"/>
                <w:sz w:val="20"/>
                <w:szCs w:val="20"/>
                <w:highlight w:val="green"/>
                <w:lang w:eastAsia="ko-KR"/>
              </w:rPr>
              <w:t>Agreement</w:t>
            </w:r>
            <w:r>
              <w:rPr>
                <w:rFonts w:hint="eastAsia" w:ascii="Times New Roman" w:hAnsi="Times New Roman"/>
                <w:sz w:val="20"/>
                <w:szCs w:val="20"/>
                <w:lang w:eastAsia="ko-KR"/>
              </w:rPr>
              <w:t xml:space="preserve"> (modified as shown in red in Thursday session</w:t>
            </w:r>
            <w:r>
              <w:rPr>
                <w:rFonts w:hint="eastAsia"/>
                <w:sz w:val="20"/>
                <w:szCs w:val="20"/>
                <w:lang w:val="en-US"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adaptation of PRACH in time-domain, support at least the following case(s)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Case 1: no time-domain overlap between the additional PRACH resources for NES-capable UEs and the PRACH resources for legacy UEs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Case 2: time-domain overlap but no overlap in frequency domain between the additional PRACH resources for NES-capable UEs and the PRACH resources for legacy UEs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Case 3: additional PRACH resources for NES-capable UEs and legacy PRACH resources overlap neither in time nor frequency domains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FFS: whether additional conditions are needed to support the above cases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Additional case whether full/partial overlap in both time and frequency is allowed</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 xml:space="preserve">Above does not preclude </w:t>
            </w:r>
            <w:r>
              <w:rPr>
                <w:rFonts w:hint="eastAsia" w:ascii="Times New Roman" w:hAnsi="Times New Roman"/>
                <w:color w:val="auto"/>
                <w:sz w:val="20"/>
                <w:szCs w:val="20"/>
                <w:lang w:eastAsia="ko-KR"/>
              </w:rPr>
              <w:t>discussion for the case where the configuration</w:t>
            </w:r>
            <w:r>
              <w:rPr>
                <w:rFonts w:hint="eastAsia"/>
                <w:color w:val="auto"/>
                <w:sz w:val="20"/>
                <w:szCs w:val="20"/>
                <w:lang w:val="en-US" w:eastAsia="zh-CN"/>
              </w:rPr>
              <w:t xml:space="preserve"> f</w:t>
            </w:r>
            <w:r>
              <w:rPr>
                <w:rFonts w:hint="eastAsia" w:ascii="Times New Roman" w:hAnsi="Times New Roman"/>
                <w:color w:val="auto"/>
                <w:sz w:val="20"/>
                <w:szCs w:val="20"/>
                <w:lang w:eastAsia="ko-KR"/>
              </w:rPr>
              <w:t xml:space="preserve">or </w:t>
            </w:r>
            <w:r>
              <w:rPr>
                <w:rFonts w:hint="eastAsia" w:ascii="Times New Roman" w:hAnsi="Times New Roman"/>
                <w:sz w:val="20"/>
                <w:szCs w:val="20"/>
                <w:lang w:eastAsia="ko-KR"/>
              </w:rPr>
              <w:t>additional PRACH resources contains legacy PRACH resources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the additional PRACH resources are configured based on at least: </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 PRACH configuration index </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FFS: whether the PRACH configuration index is same and/or different from the PRACH configuration index for the legacy PRACH resources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Study further the following</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When the PRACH configuration index for the additional PRACH resources is same as the PRACH configuration index for the legacy resource, </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Additional parameter(s) for determining the additional PRACH resources e.g.</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Scaled/adjusted PRACH configuration period </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Additional timing offset</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Adjusting the parameters (e.g., (x, y) value and slot number) of the PRACH configuration </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Muting/masking ROs</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When the PRACH configuration index for the additional PRACH resources is different from the PRACH configuration index for the legacy resource</w:t>
            </w:r>
          </w:p>
          <w:p>
            <w:pPr>
              <w:keepNext w:val="0"/>
              <w:keepLines w:val="0"/>
              <w:widowControl/>
              <w:numPr>
                <w:ilvl w:val="1"/>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Additional mechanisms (if any) for determining the additional PRACH resources e.g. </w:t>
            </w:r>
          </w:p>
          <w:p>
            <w:pPr>
              <w:keepNext w:val="0"/>
              <w:keepLines w:val="0"/>
              <w:widowControl/>
              <w:numPr>
                <w:ilvl w:val="2"/>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Muting/masking ROs (e.g. for the case when the PRACH configuration index for the additional PRACH resources contains legacy resources)</w:t>
            </w:r>
          </w:p>
          <w:p>
            <w:pPr>
              <w:keepNext w:val="0"/>
              <w:keepLines w:val="0"/>
              <w:widowControl/>
              <w:numPr>
                <w:ilvl w:val="0"/>
                <w:numId w:val="5"/>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Additional parameters to facilitate condensed/cluster RACH resources in time-domain (including whether needed)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8"/>
                <w:szCs w:val="28"/>
                <w:vertAlign w:val="baseline"/>
                <w:lang w:val="en-US" w:eastAsia="zh-CN"/>
              </w:rPr>
            </w:pPr>
          </w:p>
        </w:tc>
      </w:tr>
    </w:tbl>
    <w:p>
      <w:pPr>
        <w:numPr>
          <w:ilvl w:val="-1"/>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First, according to the current specification, the time domain resources of PRACH resources are determined by the PRACH configuration index and the frequency domain resources of PRACH resources are associated with Msg1-FDM. Therefore, in order</w:t>
      </w:r>
      <w:r>
        <w:rPr>
          <w:rFonts w:hint="eastAsia"/>
          <w:b w:val="0"/>
          <w:sz w:val="20"/>
          <w:szCs w:val="20"/>
          <w:lang w:val="en-US" w:eastAsia="zh-CN"/>
        </w:rPr>
        <w:t xml:space="preserve"> </w:t>
      </w:r>
      <w:r>
        <w:rPr>
          <w:rFonts w:hint="default"/>
          <w:b w:val="0"/>
          <w:sz w:val="20"/>
          <w:szCs w:val="20"/>
          <w:lang w:val="en-US" w:eastAsia="zh-CN"/>
        </w:rPr>
        <w:t>to support case1-case3, the PRACH configuration index and Msg1-FDM for additional PRACH resources and legacy PRACH resources can be configured independently.</w:t>
      </w:r>
      <w:r>
        <w:rPr>
          <w:rFonts w:hint="eastAsia"/>
          <w:b w:val="0"/>
          <w:sz w:val="20"/>
          <w:szCs w:val="20"/>
          <w:lang w:val="en-US" w:eastAsia="zh-CN"/>
        </w:rPr>
        <w:t xml:space="preserve"> </w:t>
      </w:r>
      <w:r>
        <w:rPr>
          <w:rFonts w:hint="default"/>
          <w:b w:val="0"/>
          <w:sz w:val="20"/>
          <w:szCs w:val="20"/>
          <w:lang w:val="en-US" w:eastAsia="zh-CN"/>
        </w:rPr>
        <w:t xml:space="preserve">In other words, the PRACH configuration indexes </w:t>
      </w:r>
      <w:r>
        <w:rPr>
          <w:rFonts w:hint="eastAsia"/>
          <w:b w:val="0"/>
          <w:sz w:val="20"/>
          <w:szCs w:val="20"/>
          <w:lang w:val="en-US" w:eastAsia="zh-CN"/>
        </w:rPr>
        <w:t>for</w:t>
      </w:r>
      <w:r>
        <w:rPr>
          <w:rFonts w:hint="default"/>
          <w:b w:val="0"/>
          <w:sz w:val="20"/>
          <w:szCs w:val="20"/>
          <w:lang w:val="en-US" w:eastAsia="zh-CN"/>
        </w:rPr>
        <w:t xml:space="preserve"> the additional PRACH resource and the legacy PRACH resource can be the same or different</w:t>
      </w:r>
      <w:r>
        <w:rPr>
          <w:rFonts w:hint="eastAsia"/>
          <w:b w:val="0"/>
          <w:sz w:val="20"/>
          <w:szCs w:val="20"/>
          <w:lang w:val="en-US" w:eastAsia="zh-CN"/>
        </w:rPr>
        <w:t>.</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Secondly, since the consensus reached in the previous meetings was "not to change the existing PRACH configuration table in 38.211", there may be a full/partial overlap between additional PRACH resources and legacy PRACH resources in the time and frequency domains. Therefore the case of full/partial overlap in both time and frequency can be supported.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5  The PRACH configuration indexes for the additional PRACH resource and the legacy PRACH resource can be the same or different.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6  The case of full/partial overlap in both time and frequency can be supported</w:t>
      </w:r>
      <w:r>
        <w:rPr>
          <w:rFonts w:hint="default"/>
          <w:b/>
          <w:sz w:val="21"/>
          <w:szCs w:val="21"/>
          <w:lang w:val="en-US" w:eastAsia="zh-CN"/>
        </w:rPr>
        <w:t>.</w:t>
      </w:r>
    </w:p>
    <w:p>
      <w:pPr>
        <w:spacing w:before="0" w:beforeLines="50" w:after="0" w:afterLines="50" w:line="360" w:lineRule="auto"/>
        <w:jc w:val="both"/>
        <w:rPr>
          <w:rFonts w:hint="default"/>
          <w:sz w:val="20"/>
          <w:szCs w:val="20"/>
          <w:lang w:val="en-US" w:eastAsia="zh-CN"/>
        </w:rPr>
      </w:pPr>
      <w:r>
        <w:rPr>
          <w:rFonts w:hint="default"/>
          <w:sz w:val="20"/>
          <w:szCs w:val="20"/>
          <w:lang w:val="en-US" w:eastAsia="zh-CN"/>
        </w:rPr>
        <w:t xml:space="preserve">Regarding the </w:t>
      </w:r>
      <w:r>
        <w:rPr>
          <w:rFonts w:hint="eastAsia" w:ascii="Times New Roman" w:hAnsi="Times New Roman"/>
          <w:sz w:val="20"/>
          <w:szCs w:val="20"/>
          <w:lang w:val="en-US" w:eastAsia="zh-CN"/>
        </w:rPr>
        <w:t>adaptation mechanism for additional PRACH resources</w:t>
      </w:r>
      <w:r>
        <w:rPr>
          <w:rFonts w:hint="default"/>
          <w:sz w:val="20"/>
          <w:szCs w:val="20"/>
          <w:lang w:val="en-US" w:eastAsia="zh-CN"/>
        </w:rPr>
        <w:t>, the RAN1#117 meeting reached the following agreement</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highlight w:val="green"/>
                <w:lang w:eastAsia="ko-KR"/>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the adaptation mechanism for additional PRACH resources, study further the following: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Option 1: Higher layer signalling (with potential enhancements) based PRACH resource adaptation </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Option 2: L1-based adaptation to indicate whether the additional PRACH resources provided by semi-static signalling are available or not </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Strive to re-use existing DCI format(s)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3: Adaptation of PRACH transmission according to predefined condition(s)</w:t>
            </w:r>
          </w:p>
          <w:p>
            <w:pPr>
              <w:keepNext w:val="0"/>
              <w:keepLines w:val="0"/>
              <w:widowControl/>
              <w:numPr>
                <w:ilvl w:val="1"/>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details</w:t>
            </w:r>
          </w:p>
          <w:p>
            <w:pPr>
              <w:keepNext w:val="0"/>
              <w:keepLines w:val="0"/>
              <w:widowControl/>
              <w:numPr>
                <w:ilvl w:val="0"/>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olor w:val="000000"/>
                <w:sz w:val="20"/>
                <w:szCs w:val="20"/>
                <w:lang w:val="en-US"/>
              </w:rPr>
            </w:pPr>
            <w:r>
              <w:rPr>
                <w:rFonts w:hint="eastAsia" w:ascii="Times New Roman" w:hAnsi="Times New Roman"/>
                <w:color w:val="000000"/>
                <w:sz w:val="20"/>
                <w:szCs w:val="20"/>
                <w:lang w:eastAsia="zh-CN"/>
              </w:rPr>
              <w:t>Option 4-rev1: L1-based adaptation to indicate whether a subset of the additional PRACH resources provided by semi-static signalling are available or not </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olor w:val="000000"/>
                <w:sz w:val="20"/>
                <w:szCs w:val="20"/>
                <w:lang w:val="en-US"/>
              </w:rPr>
            </w:pPr>
            <w:r>
              <w:rPr>
                <w:rFonts w:hint="eastAsia" w:ascii="Times New Roman" w:hAnsi="Times New Roman"/>
                <w:color w:val="000000"/>
                <w:sz w:val="20"/>
                <w:szCs w:val="20"/>
                <w:lang w:eastAsia="zh-CN"/>
              </w:rPr>
              <w:t>FFS: whether the subset of the additional PRACH resources is in RO level / SSB-to-RO mapping cycle level/PRACH association period level/PRACH association pattern period level for time-domain PRACH adaptation </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olor w:val="000000"/>
                <w:sz w:val="20"/>
                <w:szCs w:val="20"/>
                <w:lang w:val="en-US"/>
              </w:rPr>
            </w:pPr>
            <w:r>
              <w:rPr>
                <w:rFonts w:hint="eastAsia" w:ascii="Times New Roman" w:hAnsi="Times New Roman"/>
                <w:color w:val="000000"/>
                <w:sz w:val="20"/>
                <w:szCs w:val="20"/>
                <w:lang w:eastAsia="zh-CN"/>
              </w:rPr>
              <w:t>Strive to re-use existing DCI format(s)</w:t>
            </w:r>
          </w:p>
          <w:p>
            <w:pPr>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ko-KR"/>
              </w:rPr>
              <w:t>Option 5: Enhanced cell DRX</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eastAsia"/>
                <w:b/>
                <w:sz w:val="21"/>
                <w:szCs w:val="21"/>
                <w:vertAlign w:val="baseline"/>
                <w:lang w:val="en-US" w:eastAsia="zh-CN"/>
              </w:rPr>
            </w:pPr>
          </w:p>
        </w:tc>
      </w:tr>
    </w:tbl>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First, for the higher layer signaling in Option 1: since the PRACH resource configuration is configured via SIB1 in the current specification, the same method of configuring the PRACH resource via SIB1 can still be reused. As a result, higher layer signalling based PRACH resource adaptation can be supported.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Second, for the L1-based adaptation in Option 2: the PRACH configuration update in the current specification needs to wait for the modification period of SIB1, which is relatively long, therefore, a more dynamic and flexible L1-based adaptation can be supported. In addition, considering the complexity of UE detection, existing DCIs can be reused to indicate the adaptation of PRACH transmission, e.g., DCI format 1_0. Further, since the adaptation of PRACH transmission can be applied to RRC connection/idle/inactive modes, the use of different DCI formats for different RRC modes can be supported, e.g., for the idle mode, DCI format 2_7 can be used.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Third, for Option 3, if the Adaptation of PRACH transmission is indicated based on the predefined condition(s), the PRACH adaptation may not work well due to some information mismatch between the UE and the gNB, hence Option 3 can be excluded.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Fourth, Option 4 is similar to Option 2, and Option 4 can effectively reduce the overlap between additional PRACH resources and legacy PRACH resources, so Option 4 can be preferred to be supported.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Fifth, for Option 5, since cell DTX/DRX is introduced for better network energy saving and cell DTX/DRX operation is only applicable to some UE specific channels/signals in Rel-18. Therefore, from the network energy saving point of view, PRACH adaptation based on enhanced cell DRX operation can be considered.</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eastAsia"/>
          <w:b w:val="0"/>
          <w:sz w:val="20"/>
          <w:szCs w:val="20"/>
          <w:lang w:val="en-US" w:eastAsia="zh-CN"/>
        </w:rPr>
        <w:t>In summary, L1-based PRACH resource adaptation can be supported and enhanced cell DRX can be considered.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default"/>
          <w:b/>
          <w:sz w:val="21"/>
          <w:szCs w:val="21"/>
          <w:lang w:val="en-US" w:eastAsia="zh-CN"/>
        </w:rPr>
        <w:t xml:space="preserve">Proposal </w:t>
      </w:r>
      <w:r>
        <w:rPr>
          <w:rFonts w:hint="eastAsia"/>
          <w:b/>
          <w:sz w:val="21"/>
          <w:szCs w:val="21"/>
          <w:lang w:val="en-US" w:eastAsia="zh-CN"/>
        </w:rPr>
        <w:t>7  It is recommended that L1-based PRACH resource adaptation can be supported</w:t>
      </w:r>
      <w:r>
        <w:rPr>
          <w:rFonts w:hint="default"/>
          <w:b/>
          <w:sz w:val="21"/>
          <w:szCs w:val="21"/>
          <w:lang w:val="en-US" w:eastAsia="zh-CN"/>
        </w:rPr>
        <w:t>.</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8</w:t>
      </w:r>
      <w:r>
        <w:rPr>
          <w:rFonts w:hint="default"/>
          <w:b/>
          <w:sz w:val="21"/>
          <w:szCs w:val="21"/>
          <w:lang w:val="en-US" w:eastAsia="zh-CN"/>
        </w:rPr>
        <w:t xml:space="preserve">  It is recommended enhanced cell DRX </w:t>
      </w:r>
      <w:r>
        <w:rPr>
          <w:rFonts w:hint="eastAsia"/>
          <w:b/>
          <w:sz w:val="21"/>
          <w:szCs w:val="21"/>
          <w:lang w:val="en-US" w:eastAsia="zh-CN"/>
        </w:rPr>
        <w:t>may</w:t>
      </w:r>
      <w:r>
        <w:rPr>
          <w:rFonts w:hint="default"/>
          <w:b/>
          <w:sz w:val="21"/>
          <w:szCs w:val="21"/>
          <w:lang w:val="en-US" w:eastAsia="zh-CN"/>
        </w:rPr>
        <w:t xml:space="preserve"> be considered.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图1</w:t>
      </w:r>
    </w:p>
    <w:p>
      <w:pPr>
        <w:numPr>
          <w:ilvl w:val="0"/>
          <w:numId w:val="0"/>
        </w:numPr>
        <w:spacing w:before="0" w:beforeLines="50" w:after="0" w:afterLines="50" w:line="360" w:lineRule="auto"/>
        <w:jc w:val="both"/>
        <w:rPr>
          <w:rFonts w:hint="default"/>
          <w:b/>
          <w:bCs/>
          <w:lang w:val="en-US" w:eastAsia="zh-CN"/>
        </w:rPr>
      </w:pPr>
      <w:r>
        <w:rPr>
          <w:rFonts w:hint="default"/>
          <w:b/>
          <w:sz w:val="21"/>
          <w:szCs w:val="21"/>
          <w:lang w:val="en-US" w:eastAsia="zh-CN"/>
        </w:rPr>
        <w:t xml:space="preserve">Proposal </w:t>
      </w:r>
      <w:r>
        <w:rPr>
          <w:rFonts w:hint="eastAsia"/>
          <w:b/>
          <w:sz w:val="21"/>
          <w:szCs w:val="21"/>
          <w:lang w:val="en-US" w:eastAsia="zh-CN"/>
        </w:rPr>
        <w:t>9</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w:t>
      </w:r>
      <w:r>
        <w:rPr>
          <w:rFonts w:hint="eastAsia"/>
          <w:b/>
          <w:sz w:val="21"/>
          <w:szCs w:val="21"/>
          <w:lang w:val="en-US" w:eastAsia="zh-CN"/>
        </w:rPr>
        <w:t xml:space="preserve"> </w:t>
      </w:r>
      <w:r>
        <w:rPr>
          <w:rFonts w:hint="default"/>
          <w:b/>
          <w:sz w:val="21"/>
          <w:szCs w:val="21"/>
          <w:lang w:val="en-US" w:eastAsia="zh-CN"/>
        </w:rPr>
        <w:t>CD-SSB adaptation of Rel-19 NES-capable UEs in idle/inactive mode should not be supported.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A</w:t>
      </w:r>
      <w:r>
        <w:rPr>
          <w:rFonts w:hint="default"/>
          <w:b/>
          <w:sz w:val="21"/>
          <w:szCs w:val="21"/>
          <w:lang w:val="en-US" w:eastAsia="zh-CN"/>
        </w:rPr>
        <w:t>daptation for SSB not on sync raster</w:t>
      </w:r>
      <w:r>
        <w:rPr>
          <w:rFonts w:hint="eastAsia"/>
          <w:b/>
          <w:sz w:val="21"/>
          <w:szCs w:val="21"/>
          <w:lang w:val="en-US" w:eastAsia="zh-CN"/>
        </w:rPr>
        <w:t xml:space="preserve"> can be supported for </w:t>
      </w:r>
      <w:r>
        <w:rPr>
          <w:rFonts w:hint="default" w:ascii="Times New Roman" w:hAnsi="Times New Roman"/>
          <w:b/>
          <w:sz w:val="21"/>
          <w:szCs w:val="21"/>
          <w:lang w:val="en-US" w:eastAsia="zh-CN"/>
        </w:rPr>
        <w:t>Rel-19 NES-capable UE</w:t>
      </w:r>
      <w:r>
        <w:rPr>
          <w:rFonts w:hint="default"/>
          <w:b/>
          <w:sz w:val="21"/>
          <w:szCs w:val="21"/>
          <w:lang w:val="en-US" w:eastAsia="zh-CN"/>
        </w:rPr>
        <w:t>’</w:t>
      </w:r>
      <w:r>
        <w:rPr>
          <w:rFonts w:hint="default" w:ascii="Times New Roman" w:hAnsi="Times New Roman"/>
          <w:b/>
          <w:sz w:val="21"/>
          <w:szCs w:val="21"/>
          <w:lang w:val="en-US" w:eastAsia="zh-CN"/>
        </w:rPr>
        <w:t>s PCell</w:t>
      </w:r>
      <w:r>
        <w:rPr>
          <w:rFonts w:hint="default"/>
          <w:b/>
          <w:sz w:val="21"/>
          <w:szCs w:val="21"/>
          <w:lang w:val="en-US" w:eastAsia="zh-CN"/>
        </w:rPr>
        <w:t xml:space="preserve"> and </w:t>
      </w:r>
      <w:r>
        <w:rPr>
          <w:rFonts w:hint="default" w:ascii="Times New Roman" w:hAnsi="Times New Roman"/>
          <w:b/>
          <w:sz w:val="21"/>
          <w:szCs w:val="21"/>
          <w:lang w:val="en-US" w:eastAsia="zh-CN"/>
        </w:rPr>
        <w:t>Rel-19 NES-capable UE</w:t>
      </w:r>
      <w:r>
        <w:rPr>
          <w:rFonts w:hint="default"/>
          <w:b/>
          <w:sz w:val="21"/>
          <w:szCs w:val="21"/>
          <w:lang w:val="en-US" w:eastAsia="zh-CN"/>
        </w:rPr>
        <w:t>’</w:t>
      </w:r>
      <w:r>
        <w:rPr>
          <w:rFonts w:hint="default" w:ascii="Times New Roman" w:hAnsi="Times New Roman"/>
          <w:b/>
          <w:sz w:val="21"/>
          <w:szCs w:val="21"/>
          <w:lang w:val="en-US" w:eastAsia="zh-CN"/>
        </w:rPr>
        <w:t>s SCell</w:t>
      </w:r>
      <w:r>
        <w:rPr>
          <w:rFonts w:hint="default"/>
          <w:b/>
          <w:sz w:val="21"/>
          <w:szCs w:val="21"/>
          <w:lang w:val="en-US" w:eastAsia="zh-CN"/>
        </w:rPr>
        <w: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It is necessary to prioritize the definition of the SSB period length</w:t>
      </w:r>
      <w:r>
        <w:rPr>
          <w:rFonts w:hint="eastAsia"/>
          <w:b/>
          <w:sz w:val="21"/>
          <w:szCs w:val="21"/>
          <w:lang w:val="en-US" w:eastAsia="zh-CN"/>
        </w:rPr>
        <w: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 xml:space="preserve">4  </w:t>
      </w:r>
      <w:r>
        <w:rPr>
          <w:rFonts w:hint="default"/>
          <w:b/>
          <w:sz w:val="21"/>
          <w:szCs w:val="21"/>
          <w:lang w:val="en-US" w:eastAsia="zh-CN"/>
        </w:rPr>
        <w:t>It is recommended that new longer SSB burst cycle values may be considered.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5  The PRACH configuration indexes for the additional PRACH resource and the legacy PRACH resource can be the same or different.</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6  The case of full/partial overlap in both time and frequency can be supported</w:t>
      </w:r>
      <w:r>
        <w:rPr>
          <w:rFonts w:hint="default"/>
          <w:b/>
          <w:sz w:val="21"/>
          <w:szCs w:val="21"/>
          <w:lang w:val="en-US" w:eastAsia="zh-CN"/>
        </w:rPr>
        <w:t>.</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default"/>
          <w:b/>
          <w:sz w:val="21"/>
          <w:szCs w:val="21"/>
          <w:lang w:val="en-US" w:eastAsia="zh-CN"/>
        </w:rPr>
        <w:t xml:space="preserve">Proposal </w:t>
      </w:r>
      <w:r>
        <w:rPr>
          <w:rFonts w:hint="eastAsia"/>
          <w:b/>
          <w:sz w:val="21"/>
          <w:szCs w:val="21"/>
          <w:lang w:val="en-US" w:eastAsia="zh-CN"/>
        </w:rPr>
        <w:t>7  It is recommended that L1-based PRACH resource adaptation can be supported</w:t>
      </w:r>
      <w:r>
        <w:rPr>
          <w:rFonts w:hint="default"/>
          <w:b/>
          <w:sz w:val="21"/>
          <w:szCs w:val="21"/>
          <w:lang w:val="en-US" w:eastAsia="zh-CN"/>
        </w:rPr>
        <w:t>.</w:t>
      </w:r>
    </w:p>
    <w:p>
      <w:pPr>
        <w:numPr>
          <w:ilvl w:val="0"/>
          <w:numId w:val="0"/>
        </w:num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8</w:t>
      </w:r>
      <w:r>
        <w:rPr>
          <w:rFonts w:hint="default"/>
          <w:b/>
          <w:sz w:val="21"/>
          <w:szCs w:val="21"/>
          <w:lang w:val="en-US" w:eastAsia="zh-CN"/>
        </w:rPr>
        <w:t xml:space="preserve">  It is recommended enhanced cell DRX </w:t>
      </w:r>
      <w:r>
        <w:rPr>
          <w:rFonts w:hint="eastAsia"/>
          <w:b/>
          <w:sz w:val="21"/>
          <w:szCs w:val="21"/>
          <w:lang w:val="en-US" w:eastAsia="zh-CN"/>
        </w:rPr>
        <w:t>may</w:t>
      </w:r>
      <w:r>
        <w:rPr>
          <w:rFonts w:hint="default"/>
          <w:b/>
          <w:sz w:val="21"/>
          <w:szCs w:val="21"/>
          <w:lang w:val="en-US" w:eastAsia="zh-CN"/>
        </w:rPr>
        <w:t xml:space="preserve"> be considered.</w:t>
      </w:r>
    </w:p>
    <w:p>
      <w:pPr>
        <w:spacing w:before="0" w:beforeLines="50" w:after="0" w:afterLines="5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9</w:t>
      </w:r>
      <w:r>
        <w:rPr>
          <w:rFonts w:hint="default"/>
          <w:b/>
          <w:sz w:val="21"/>
          <w:szCs w:val="21"/>
          <w:lang w:val="en-US" w:eastAsia="zh-CN"/>
        </w:rPr>
        <w:t xml:space="preserve">  It is recommended that how to set up a paging time window that includes all paging occasions in a single I-DRX </w:t>
      </w:r>
      <w:r>
        <w:rPr>
          <w:rFonts w:hint="eastAsia"/>
          <w:b/>
          <w:sz w:val="21"/>
          <w:szCs w:val="21"/>
          <w:lang w:val="en-US" w:eastAsia="zh-CN"/>
        </w:rPr>
        <w:t xml:space="preserve">cycle </w:t>
      </w:r>
      <w:r>
        <w:rPr>
          <w:rFonts w:hint="default"/>
          <w:b/>
          <w:sz w:val="21"/>
          <w:szCs w:val="21"/>
          <w:lang w:val="en-US" w:eastAsia="zh-CN"/>
        </w:rPr>
        <w:t>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4"/>
        <w:numPr>
          <w:ilvl w:val="0"/>
          <w:numId w:val="7"/>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#117 v0.2.0” , RAN1#117</w:t>
      </w:r>
    </w:p>
    <w:p>
      <w:pPr>
        <w:pStyle w:val="24"/>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4"/>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4"/>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835648"/>
    <w:multiLevelType w:val="multilevel"/>
    <w:tmpl w:val="048356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F880A60"/>
    <w:multiLevelType w:val="multilevel"/>
    <w:tmpl w:val="3F880A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2F87385"/>
    <w:multiLevelType w:val="multilevel"/>
    <w:tmpl w:val="72F87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A37C1C"/>
    <w:rsid w:val="00A87743"/>
    <w:rsid w:val="00C40150"/>
    <w:rsid w:val="00D0754F"/>
    <w:rsid w:val="00D25C57"/>
    <w:rsid w:val="00E658FD"/>
    <w:rsid w:val="00E7058B"/>
    <w:rsid w:val="00EF4818"/>
    <w:rsid w:val="010334B8"/>
    <w:rsid w:val="01081B3E"/>
    <w:rsid w:val="01096691"/>
    <w:rsid w:val="01225F6B"/>
    <w:rsid w:val="013F7A9A"/>
    <w:rsid w:val="018E309C"/>
    <w:rsid w:val="01914021"/>
    <w:rsid w:val="01A5084E"/>
    <w:rsid w:val="01C602D6"/>
    <w:rsid w:val="01C95A51"/>
    <w:rsid w:val="01D84795"/>
    <w:rsid w:val="01DE08B7"/>
    <w:rsid w:val="01FC7E4D"/>
    <w:rsid w:val="020E6E6E"/>
    <w:rsid w:val="02277D98"/>
    <w:rsid w:val="022B099C"/>
    <w:rsid w:val="02366D2D"/>
    <w:rsid w:val="02574CE3"/>
    <w:rsid w:val="027B1A20"/>
    <w:rsid w:val="02821545"/>
    <w:rsid w:val="02AE06E2"/>
    <w:rsid w:val="02BA26ED"/>
    <w:rsid w:val="0302517C"/>
    <w:rsid w:val="03292219"/>
    <w:rsid w:val="032D0C33"/>
    <w:rsid w:val="03333EBB"/>
    <w:rsid w:val="03600D99"/>
    <w:rsid w:val="039242F7"/>
    <w:rsid w:val="03986975"/>
    <w:rsid w:val="03C91325"/>
    <w:rsid w:val="03C91DEF"/>
    <w:rsid w:val="03EE7116"/>
    <w:rsid w:val="04296264"/>
    <w:rsid w:val="043D1681"/>
    <w:rsid w:val="043D4F04"/>
    <w:rsid w:val="043E7102"/>
    <w:rsid w:val="046105A7"/>
    <w:rsid w:val="04664A43"/>
    <w:rsid w:val="04670471"/>
    <w:rsid w:val="048C0506"/>
    <w:rsid w:val="04E1218F"/>
    <w:rsid w:val="050B2FD3"/>
    <w:rsid w:val="056F3D1A"/>
    <w:rsid w:val="057B238D"/>
    <w:rsid w:val="05BE0571"/>
    <w:rsid w:val="05C55C85"/>
    <w:rsid w:val="05CD6914"/>
    <w:rsid w:val="05EE1047"/>
    <w:rsid w:val="05F11FCC"/>
    <w:rsid w:val="060B4B82"/>
    <w:rsid w:val="061C226D"/>
    <w:rsid w:val="06241521"/>
    <w:rsid w:val="062D641E"/>
    <w:rsid w:val="062F22CF"/>
    <w:rsid w:val="06467E10"/>
    <w:rsid w:val="064E554F"/>
    <w:rsid w:val="06631006"/>
    <w:rsid w:val="067B6140"/>
    <w:rsid w:val="0682513E"/>
    <w:rsid w:val="068B669D"/>
    <w:rsid w:val="06963DDF"/>
    <w:rsid w:val="06B22BCB"/>
    <w:rsid w:val="06B6596F"/>
    <w:rsid w:val="06D76DC6"/>
    <w:rsid w:val="06DB01C7"/>
    <w:rsid w:val="06FD7C23"/>
    <w:rsid w:val="07410D95"/>
    <w:rsid w:val="07412138"/>
    <w:rsid w:val="075014AD"/>
    <w:rsid w:val="075B4E21"/>
    <w:rsid w:val="078263E0"/>
    <w:rsid w:val="079743E7"/>
    <w:rsid w:val="07A03B2F"/>
    <w:rsid w:val="07AF4AC4"/>
    <w:rsid w:val="07BC033E"/>
    <w:rsid w:val="07DE508C"/>
    <w:rsid w:val="083126FA"/>
    <w:rsid w:val="0843731D"/>
    <w:rsid w:val="08575FBE"/>
    <w:rsid w:val="088E04ED"/>
    <w:rsid w:val="08B14A4A"/>
    <w:rsid w:val="08BE5FB6"/>
    <w:rsid w:val="08D602B0"/>
    <w:rsid w:val="08F161BC"/>
    <w:rsid w:val="0919607C"/>
    <w:rsid w:val="091D7698"/>
    <w:rsid w:val="09386CEF"/>
    <w:rsid w:val="093A776C"/>
    <w:rsid w:val="09546DE2"/>
    <w:rsid w:val="095E2632"/>
    <w:rsid w:val="09700C89"/>
    <w:rsid w:val="09731A1B"/>
    <w:rsid w:val="09891C4A"/>
    <w:rsid w:val="09C11875"/>
    <w:rsid w:val="09E853AC"/>
    <w:rsid w:val="0A1056C4"/>
    <w:rsid w:val="0A2A24F0"/>
    <w:rsid w:val="0A3C44C2"/>
    <w:rsid w:val="0A940E9D"/>
    <w:rsid w:val="0A944117"/>
    <w:rsid w:val="0AA239BF"/>
    <w:rsid w:val="0AB5350C"/>
    <w:rsid w:val="0AC8754E"/>
    <w:rsid w:val="0AD04CB6"/>
    <w:rsid w:val="0AEB5F77"/>
    <w:rsid w:val="0AFF049B"/>
    <w:rsid w:val="0B204305"/>
    <w:rsid w:val="0B2D2264"/>
    <w:rsid w:val="0B4564A6"/>
    <w:rsid w:val="0B4F2D08"/>
    <w:rsid w:val="0B5645CC"/>
    <w:rsid w:val="0B5A0448"/>
    <w:rsid w:val="0B7E082A"/>
    <w:rsid w:val="0BA27CA4"/>
    <w:rsid w:val="0BBE3D51"/>
    <w:rsid w:val="0C0761ED"/>
    <w:rsid w:val="0C201AD9"/>
    <w:rsid w:val="0C3F70FC"/>
    <w:rsid w:val="0C6B3E4C"/>
    <w:rsid w:val="0C7A3E69"/>
    <w:rsid w:val="0C833857"/>
    <w:rsid w:val="0CCC4667"/>
    <w:rsid w:val="0CCD626F"/>
    <w:rsid w:val="0CD41A6D"/>
    <w:rsid w:val="0CFE7F60"/>
    <w:rsid w:val="0D080870"/>
    <w:rsid w:val="0D092E4F"/>
    <w:rsid w:val="0D3D618A"/>
    <w:rsid w:val="0D6E5C96"/>
    <w:rsid w:val="0D8008CF"/>
    <w:rsid w:val="0D84318F"/>
    <w:rsid w:val="0D9F3231"/>
    <w:rsid w:val="0DCC602F"/>
    <w:rsid w:val="0DF54C75"/>
    <w:rsid w:val="0DFE15A3"/>
    <w:rsid w:val="0E0319F2"/>
    <w:rsid w:val="0E2C3933"/>
    <w:rsid w:val="0E2C734E"/>
    <w:rsid w:val="0E4D44EF"/>
    <w:rsid w:val="0E5C65DD"/>
    <w:rsid w:val="0E83191D"/>
    <w:rsid w:val="0E950075"/>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2D573C"/>
    <w:rsid w:val="11563482"/>
    <w:rsid w:val="11624912"/>
    <w:rsid w:val="11BC7B3F"/>
    <w:rsid w:val="11BD0256"/>
    <w:rsid w:val="11E164E5"/>
    <w:rsid w:val="11E74B6B"/>
    <w:rsid w:val="11F363FF"/>
    <w:rsid w:val="123B45F5"/>
    <w:rsid w:val="123D56D9"/>
    <w:rsid w:val="124E4501"/>
    <w:rsid w:val="12550A22"/>
    <w:rsid w:val="12576123"/>
    <w:rsid w:val="12960691"/>
    <w:rsid w:val="12A365A3"/>
    <w:rsid w:val="12A44024"/>
    <w:rsid w:val="12B75243"/>
    <w:rsid w:val="12DF4C74"/>
    <w:rsid w:val="13101155"/>
    <w:rsid w:val="131577DB"/>
    <w:rsid w:val="131D046B"/>
    <w:rsid w:val="13344F8B"/>
    <w:rsid w:val="135C7F4F"/>
    <w:rsid w:val="136E36ED"/>
    <w:rsid w:val="139559A9"/>
    <w:rsid w:val="139562FC"/>
    <w:rsid w:val="139F60D9"/>
    <w:rsid w:val="13A67F63"/>
    <w:rsid w:val="13F554B1"/>
    <w:rsid w:val="14327D73"/>
    <w:rsid w:val="145058F5"/>
    <w:rsid w:val="145C6F22"/>
    <w:rsid w:val="14676463"/>
    <w:rsid w:val="149C635D"/>
    <w:rsid w:val="14AC682E"/>
    <w:rsid w:val="14C53B07"/>
    <w:rsid w:val="14CB142B"/>
    <w:rsid w:val="14D80741"/>
    <w:rsid w:val="14E32355"/>
    <w:rsid w:val="14EC578B"/>
    <w:rsid w:val="14F05DE7"/>
    <w:rsid w:val="15064236"/>
    <w:rsid w:val="1567791C"/>
    <w:rsid w:val="15682461"/>
    <w:rsid w:val="158935CD"/>
    <w:rsid w:val="15AD3A82"/>
    <w:rsid w:val="15BF12E4"/>
    <w:rsid w:val="15CE7E95"/>
    <w:rsid w:val="15E82AFC"/>
    <w:rsid w:val="16501227"/>
    <w:rsid w:val="1670755D"/>
    <w:rsid w:val="16E52799"/>
    <w:rsid w:val="170B1239"/>
    <w:rsid w:val="170B51DD"/>
    <w:rsid w:val="17326BFF"/>
    <w:rsid w:val="173340E6"/>
    <w:rsid w:val="1766497C"/>
    <w:rsid w:val="17846D8A"/>
    <w:rsid w:val="179358ED"/>
    <w:rsid w:val="17B13154"/>
    <w:rsid w:val="17EF5450"/>
    <w:rsid w:val="182A1DB2"/>
    <w:rsid w:val="183D7BCD"/>
    <w:rsid w:val="183E7952"/>
    <w:rsid w:val="187C1BBC"/>
    <w:rsid w:val="188259C1"/>
    <w:rsid w:val="189D42EF"/>
    <w:rsid w:val="18B21AD6"/>
    <w:rsid w:val="18EA08C6"/>
    <w:rsid w:val="18FC598D"/>
    <w:rsid w:val="191D5EC2"/>
    <w:rsid w:val="19286D8E"/>
    <w:rsid w:val="196A0E57"/>
    <w:rsid w:val="19B6063F"/>
    <w:rsid w:val="19C83DDC"/>
    <w:rsid w:val="19DB757A"/>
    <w:rsid w:val="19F743DF"/>
    <w:rsid w:val="1A682661"/>
    <w:rsid w:val="1A942215"/>
    <w:rsid w:val="1AAD617C"/>
    <w:rsid w:val="1ACC2385"/>
    <w:rsid w:val="1AD0213C"/>
    <w:rsid w:val="1AD1680D"/>
    <w:rsid w:val="1AE462AF"/>
    <w:rsid w:val="1AE71409"/>
    <w:rsid w:val="1AE945CD"/>
    <w:rsid w:val="1AF65748"/>
    <w:rsid w:val="1AFF24AA"/>
    <w:rsid w:val="1B1122A8"/>
    <w:rsid w:val="1B1C3409"/>
    <w:rsid w:val="1B450D4A"/>
    <w:rsid w:val="1B685086"/>
    <w:rsid w:val="1B867AAD"/>
    <w:rsid w:val="1BAD7475"/>
    <w:rsid w:val="1BEA14D8"/>
    <w:rsid w:val="1BED197A"/>
    <w:rsid w:val="1BFF39FC"/>
    <w:rsid w:val="1C1823A7"/>
    <w:rsid w:val="1C274BC0"/>
    <w:rsid w:val="1C3734CF"/>
    <w:rsid w:val="1C4A27F6"/>
    <w:rsid w:val="1C61021D"/>
    <w:rsid w:val="1C8E5869"/>
    <w:rsid w:val="1CA3450A"/>
    <w:rsid w:val="1CB908AC"/>
    <w:rsid w:val="1CDA2465"/>
    <w:rsid w:val="1D176197"/>
    <w:rsid w:val="1D345FF7"/>
    <w:rsid w:val="1D3A2CBF"/>
    <w:rsid w:val="1D4E0DE6"/>
    <w:rsid w:val="1D5F3C1E"/>
    <w:rsid w:val="1D786CA0"/>
    <w:rsid w:val="1E913FE6"/>
    <w:rsid w:val="1ECD0317"/>
    <w:rsid w:val="1ED32220"/>
    <w:rsid w:val="1EEA1E45"/>
    <w:rsid w:val="1EF27252"/>
    <w:rsid w:val="1EF8454C"/>
    <w:rsid w:val="1F0868CC"/>
    <w:rsid w:val="1F1402D1"/>
    <w:rsid w:val="1F303599"/>
    <w:rsid w:val="1F31003B"/>
    <w:rsid w:val="1F713F17"/>
    <w:rsid w:val="1FBF7ED9"/>
    <w:rsid w:val="1FCB49B6"/>
    <w:rsid w:val="1FE458E0"/>
    <w:rsid w:val="1FEC2E86"/>
    <w:rsid w:val="20273EC1"/>
    <w:rsid w:val="202A6055"/>
    <w:rsid w:val="20323461"/>
    <w:rsid w:val="203E1579"/>
    <w:rsid w:val="20486C30"/>
    <w:rsid w:val="20600576"/>
    <w:rsid w:val="20664BB5"/>
    <w:rsid w:val="206E7A43"/>
    <w:rsid w:val="209F126A"/>
    <w:rsid w:val="20DA5585"/>
    <w:rsid w:val="20DC4847"/>
    <w:rsid w:val="20E83E89"/>
    <w:rsid w:val="20F14799"/>
    <w:rsid w:val="20FC2B2A"/>
    <w:rsid w:val="21330A85"/>
    <w:rsid w:val="213972AA"/>
    <w:rsid w:val="213C7197"/>
    <w:rsid w:val="21486D50"/>
    <w:rsid w:val="214F5755"/>
    <w:rsid w:val="21510035"/>
    <w:rsid w:val="21556A3C"/>
    <w:rsid w:val="217B257A"/>
    <w:rsid w:val="21A041E8"/>
    <w:rsid w:val="21A835A0"/>
    <w:rsid w:val="21B1733E"/>
    <w:rsid w:val="21B6696E"/>
    <w:rsid w:val="21B76AE0"/>
    <w:rsid w:val="21BA5653"/>
    <w:rsid w:val="21C4473A"/>
    <w:rsid w:val="21C71C6C"/>
    <w:rsid w:val="21F51F69"/>
    <w:rsid w:val="22112672"/>
    <w:rsid w:val="221A5E06"/>
    <w:rsid w:val="22274AE6"/>
    <w:rsid w:val="222A579A"/>
    <w:rsid w:val="224131C1"/>
    <w:rsid w:val="225C6182"/>
    <w:rsid w:val="226804C4"/>
    <w:rsid w:val="22B456FE"/>
    <w:rsid w:val="22EB050E"/>
    <w:rsid w:val="22EE7297"/>
    <w:rsid w:val="22FD69AE"/>
    <w:rsid w:val="230B5C6A"/>
    <w:rsid w:val="23102595"/>
    <w:rsid w:val="23543698"/>
    <w:rsid w:val="235532CB"/>
    <w:rsid w:val="2358620C"/>
    <w:rsid w:val="2378316C"/>
    <w:rsid w:val="237D4B3E"/>
    <w:rsid w:val="23A27905"/>
    <w:rsid w:val="23AB02F8"/>
    <w:rsid w:val="23E1725C"/>
    <w:rsid w:val="23E3036F"/>
    <w:rsid w:val="24222D39"/>
    <w:rsid w:val="242E2CD0"/>
    <w:rsid w:val="24323971"/>
    <w:rsid w:val="243B09FD"/>
    <w:rsid w:val="24726959"/>
    <w:rsid w:val="24770AA7"/>
    <w:rsid w:val="24805C6F"/>
    <w:rsid w:val="248C0279"/>
    <w:rsid w:val="249C66CB"/>
    <w:rsid w:val="24A835B0"/>
    <w:rsid w:val="24B23EBF"/>
    <w:rsid w:val="24CF5058"/>
    <w:rsid w:val="24F02BBA"/>
    <w:rsid w:val="24F02CB3"/>
    <w:rsid w:val="253731E2"/>
    <w:rsid w:val="253A3D11"/>
    <w:rsid w:val="25760785"/>
    <w:rsid w:val="259733DB"/>
    <w:rsid w:val="259F0F36"/>
    <w:rsid w:val="25A634D3"/>
    <w:rsid w:val="25A733DE"/>
    <w:rsid w:val="25BF7538"/>
    <w:rsid w:val="25E25F7B"/>
    <w:rsid w:val="25FA3B44"/>
    <w:rsid w:val="26014383"/>
    <w:rsid w:val="26025AC5"/>
    <w:rsid w:val="26117D22"/>
    <w:rsid w:val="264E29E7"/>
    <w:rsid w:val="265817DB"/>
    <w:rsid w:val="26685E4E"/>
    <w:rsid w:val="266D09DC"/>
    <w:rsid w:val="266F2F1B"/>
    <w:rsid w:val="26710598"/>
    <w:rsid w:val="26A420F1"/>
    <w:rsid w:val="26D50A2C"/>
    <w:rsid w:val="27042C3A"/>
    <w:rsid w:val="272E2055"/>
    <w:rsid w:val="27CE415D"/>
    <w:rsid w:val="27EB20ED"/>
    <w:rsid w:val="28090ABE"/>
    <w:rsid w:val="282006E4"/>
    <w:rsid w:val="28295770"/>
    <w:rsid w:val="283F7913"/>
    <w:rsid w:val="286F3CE6"/>
    <w:rsid w:val="28A4093D"/>
    <w:rsid w:val="28C65A54"/>
    <w:rsid w:val="28F57152"/>
    <w:rsid w:val="290A60E3"/>
    <w:rsid w:val="29156672"/>
    <w:rsid w:val="2925470E"/>
    <w:rsid w:val="29925D2E"/>
    <w:rsid w:val="29AA010A"/>
    <w:rsid w:val="29EA70FD"/>
    <w:rsid w:val="29FA68D1"/>
    <w:rsid w:val="2A5218FD"/>
    <w:rsid w:val="2A827ECE"/>
    <w:rsid w:val="2A8E045D"/>
    <w:rsid w:val="2AEB718E"/>
    <w:rsid w:val="2B15743C"/>
    <w:rsid w:val="2B162C13"/>
    <w:rsid w:val="2B172940"/>
    <w:rsid w:val="2B20324F"/>
    <w:rsid w:val="2B347CF1"/>
    <w:rsid w:val="2B9229E5"/>
    <w:rsid w:val="2BB327BE"/>
    <w:rsid w:val="2BD51A79"/>
    <w:rsid w:val="2C0525C8"/>
    <w:rsid w:val="2C153FA1"/>
    <w:rsid w:val="2C1A370D"/>
    <w:rsid w:val="2C3E5C25"/>
    <w:rsid w:val="2C3F7E23"/>
    <w:rsid w:val="2C71696C"/>
    <w:rsid w:val="2C856399"/>
    <w:rsid w:val="2C9C42D9"/>
    <w:rsid w:val="2CB35BE4"/>
    <w:rsid w:val="2CC04EFA"/>
    <w:rsid w:val="2CEC353A"/>
    <w:rsid w:val="2D312F7F"/>
    <w:rsid w:val="2D4C0361"/>
    <w:rsid w:val="2D855F3C"/>
    <w:rsid w:val="2D884FED"/>
    <w:rsid w:val="2D9716DA"/>
    <w:rsid w:val="2DB5450D"/>
    <w:rsid w:val="2DB84437"/>
    <w:rsid w:val="2DFE2383"/>
    <w:rsid w:val="2E194231"/>
    <w:rsid w:val="2E3458E0"/>
    <w:rsid w:val="2E934898"/>
    <w:rsid w:val="2ED90459"/>
    <w:rsid w:val="2EE4137C"/>
    <w:rsid w:val="2F280B6B"/>
    <w:rsid w:val="2F552934"/>
    <w:rsid w:val="2F760EDC"/>
    <w:rsid w:val="2FCF028E"/>
    <w:rsid w:val="2FF31539"/>
    <w:rsid w:val="303F6316"/>
    <w:rsid w:val="30A04ED5"/>
    <w:rsid w:val="30A72E79"/>
    <w:rsid w:val="30C920B8"/>
    <w:rsid w:val="30DD4D3A"/>
    <w:rsid w:val="30F36EDD"/>
    <w:rsid w:val="31182819"/>
    <w:rsid w:val="31586882"/>
    <w:rsid w:val="315A7B86"/>
    <w:rsid w:val="315F1A90"/>
    <w:rsid w:val="31696F75"/>
    <w:rsid w:val="31726B52"/>
    <w:rsid w:val="31A96174"/>
    <w:rsid w:val="31C13E8E"/>
    <w:rsid w:val="31E806EF"/>
    <w:rsid w:val="31F73CFB"/>
    <w:rsid w:val="31F80989"/>
    <w:rsid w:val="32251F8D"/>
    <w:rsid w:val="32395E90"/>
    <w:rsid w:val="323D5BFB"/>
    <w:rsid w:val="3266104E"/>
    <w:rsid w:val="32792BB7"/>
    <w:rsid w:val="32902DEB"/>
    <w:rsid w:val="329A7A4B"/>
    <w:rsid w:val="32F020EB"/>
    <w:rsid w:val="32FD27B6"/>
    <w:rsid w:val="3300373A"/>
    <w:rsid w:val="334B2535"/>
    <w:rsid w:val="3356713D"/>
    <w:rsid w:val="3374781D"/>
    <w:rsid w:val="33BB3E6D"/>
    <w:rsid w:val="33D577B5"/>
    <w:rsid w:val="33DF4AD8"/>
    <w:rsid w:val="33F85ED1"/>
    <w:rsid w:val="33FA4C57"/>
    <w:rsid w:val="34022063"/>
    <w:rsid w:val="340D0031"/>
    <w:rsid w:val="344227AB"/>
    <w:rsid w:val="345A6862"/>
    <w:rsid w:val="34712317"/>
    <w:rsid w:val="34D54F15"/>
    <w:rsid w:val="354D225A"/>
    <w:rsid w:val="355F746B"/>
    <w:rsid w:val="3565215B"/>
    <w:rsid w:val="357A6B39"/>
    <w:rsid w:val="358F2AEF"/>
    <w:rsid w:val="35B237C1"/>
    <w:rsid w:val="35B54FC1"/>
    <w:rsid w:val="35B567A6"/>
    <w:rsid w:val="35B873B1"/>
    <w:rsid w:val="35C74E47"/>
    <w:rsid w:val="3618394C"/>
    <w:rsid w:val="36314876"/>
    <w:rsid w:val="364C2EB6"/>
    <w:rsid w:val="36665823"/>
    <w:rsid w:val="36794C6B"/>
    <w:rsid w:val="36852913"/>
    <w:rsid w:val="36C61AF7"/>
    <w:rsid w:val="36F12D78"/>
    <w:rsid w:val="3702714D"/>
    <w:rsid w:val="371A47F4"/>
    <w:rsid w:val="37342E1F"/>
    <w:rsid w:val="37467121"/>
    <w:rsid w:val="374E39C9"/>
    <w:rsid w:val="377D6A97"/>
    <w:rsid w:val="37915A3E"/>
    <w:rsid w:val="37972EC4"/>
    <w:rsid w:val="379B18CA"/>
    <w:rsid w:val="379C1491"/>
    <w:rsid w:val="37A2030E"/>
    <w:rsid w:val="37A46956"/>
    <w:rsid w:val="37A54048"/>
    <w:rsid w:val="37FC2346"/>
    <w:rsid w:val="380A1B7E"/>
    <w:rsid w:val="38146BAA"/>
    <w:rsid w:val="383329B2"/>
    <w:rsid w:val="38662298"/>
    <w:rsid w:val="38A442FB"/>
    <w:rsid w:val="38C67D33"/>
    <w:rsid w:val="38CB386D"/>
    <w:rsid w:val="38CD2F41"/>
    <w:rsid w:val="38D146E8"/>
    <w:rsid w:val="39003390"/>
    <w:rsid w:val="39064955"/>
    <w:rsid w:val="39456083"/>
    <w:rsid w:val="395A05A6"/>
    <w:rsid w:val="39725C4D"/>
    <w:rsid w:val="398175E3"/>
    <w:rsid w:val="399C2A77"/>
    <w:rsid w:val="39B70940"/>
    <w:rsid w:val="39ED44B5"/>
    <w:rsid w:val="39F21A1E"/>
    <w:rsid w:val="39FF0D34"/>
    <w:rsid w:val="3A4D2B2F"/>
    <w:rsid w:val="3A8E6D2A"/>
    <w:rsid w:val="3A976FE1"/>
    <w:rsid w:val="3B26507B"/>
    <w:rsid w:val="3B296135"/>
    <w:rsid w:val="3B30272B"/>
    <w:rsid w:val="3B54008A"/>
    <w:rsid w:val="3B605478"/>
    <w:rsid w:val="3B702D5E"/>
    <w:rsid w:val="3B824823"/>
    <w:rsid w:val="3B8B1B40"/>
    <w:rsid w:val="3B9024B4"/>
    <w:rsid w:val="3BB44F02"/>
    <w:rsid w:val="3BB75E87"/>
    <w:rsid w:val="3BD94DA7"/>
    <w:rsid w:val="3BDB6AF8"/>
    <w:rsid w:val="3BF24696"/>
    <w:rsid w:val="3C077299"/>
    <w:rsid w:val="3C5E1B18"/>
    <w:rsid w:val="3C6B33AC"/>
    <w:rsid w:val="3CBF66BA"/>
    <w:rsid w:val="3CC505C3"/>
    <w:rsid w:val="3CCB4B07"/>
    <w:rsid w:val="3CF31043"/>
    <w:rsid w:val="3D045D81"/>
    <w:rsid w:val="3D047634"/>
    <w:rsid w:val="3D0955CD"/>
    <w:rsid w:val="3D7A7333"/>
    <w:rsid w:val="3D8B16BA"/>
    <w:rsid w:val="3D8F350F"/>
    <w:rsid w:val="3DA42D80"/>
    <w:rsid w:val="3DAB75BC"/>
    <w:rsid w:val="3DB21145"/>
    <w:rsid w:val="3DC4025D"/>
    <w:rsid w:val="3DD3111B"/>
    <w:rsid w:val="3DE35197"/>
    <w:rsid w:val="3E243A02"/>
    <w:rsid w:val="3E286B85"/>
    <w:rsid w:val="3E5F4689"/>
    <w:rsid w:val="3EC724A8"/>
    <w:rsid w:val="3EE3303B"/>
    <w:rsid w:val="3F3570C3"/>
    <w:rsid w:val="3F492FB3"/>
    <w:rsid w:val="3F651E10"/>
    <w:rsid w:val="3F6C7E79"/>
    <w:rsid w:val="3F884A5E"/>
    <w:rsid w:val="3F9625DF"/>
    <w:rsid w:val="3FC12F51"/>
    <w:rsid w:val="3FC6532D"/>
    <w:rsid w:val="3FCD4CB7"/>
    <w:rsid w:val="400E6DA6"/>
    <w:rsid w:val="404104F9"/>
    <w:rsid w:val="40510322"/>
    <w:rsid w:val="40520794"/>
    <w:rsid w:val="40585F20"/>
    <w:rsid w:val="405B6EA5"/>
    <w:rsid w:val="406F22C2"/>
    <w:rsid w:val="407F5DE0"/>
    <w:rsid w:val="40946A23"/>
    <w:rsid w:val="409D5390"/>
    <w:rsid w:val="40A53650"/>
    <w:rsid w:val="4137558E"/>
    <w:rsid w:val="41600151"/>
    <w:rsid w:val="41603818"/>
    <w:rsid w:val="417C189E"/>
    <w:rsid w:val="41845977"/>
    <w:rsid w:val="418E5F9D"/>
    <w:rsid w:val="41A710C5"/>
    <w:rsid w:val="41B53228"/>
    <w:rsid w:val="41C60DB3"/>
    <w:rsid w:val="41CE5702"/>
    <w:rsid w:val="41DB2819"/>
    <w:rsid w:val="41F33743"/>
    <w:rsid w:val="422501CE"/>
    <w:rsid w:val="42470412"/>
    <w:rsid w:val="427B248A"/>
    <w:rsid w:val="42A81C3F"/>
    <w:rsid w:val="42A81EAB"/>
    <w:rsid w:val="42E5654F"/>
    <w:rsid w:val="42E62A04"/>
    <w:rsid w:val="42EC395B"/>
    <w:rsid w:val="42F3528E"/>
    <w:rsid w:val="430A058D"/>
    <w:rsid w:val="430D4764"/>
    <w:rsid w:val="43254DBA"/>
    <w:rsid w:val="436A67A8"/>
    <w:rsid w:val="43993D8E"/>
    <w:rsid w:val="43A01007"/>
    <w:rsid w:val="43E56B7B"/>
    <w:rsid w:val="442941EF"/>
    <w:rsid w:val="44495E16"/>
    <w:rsid w:val="44626E27"/>
    <w:rsid w:val="44711559"/>
    <w:rsid w:val="449700C1"/>
    <w:rsid w:val="44BF3856"/>
    <w:rsid w:val="44C04B5B"/>
    <w:rsid w:val="44CF3033"/>
    <w:rsid w:val="44DF4AD3"/>
    <w:rsid w:val="453C1F26"/>
    <w:rsid w:val="45582750"/>
    <w:rsid w:val="45643FA0"/>
    <w:rsid w:val="456A1771"/>
    <w:rsid w:val="457A3F89"/>
    <w:rsid w:val="45806EC3"/>
    <w:rsid w:val="458A5B63"/>
    <w:rsid w:val="458B5528"/>
    <w:rsid w:val="45F12DD4"/>
    <w:rsid w:val="46117980"/>
    <w:rsid w:val="46126F72"/>
    <w:rsid w:val="461B5D11"/>
    <w:rsid w:val="46477E5A"/>
    <w:rsid w:val="46686C9E"/>
    <w:rsid w:val="469E62EA"/>
    <w:rsid w:val="46CC2197"/>
    <w:rsid w:val="47341CB9"/>
    <w:rsid w:val="473964E9"/>
    <w:rsid w:val="47596A1D"/>
    <w:rsid w:val="476B0A7D"/>
    <w:rsid w:val="476C4C8D"/>
    <w:rsid w:val="47753FAC"/>
    <w:rsid w:val="478F75F0"/>
    <w:rsid w:val="47CA5A26"/>
    <w:rsid w:val="47D1242C"/>
    <w:rsid w:val="48066B36"/>
    <w:rsid w:val="483713AF"/>
    <w:rsid w:val="48403498"/>
    <w:rsid w:val="48570EBF"/>
    <w:rsid w:val="487758BD"/>
    <w:rsid w:val="488E5A9B"/>
    <w:rsid w:val="48AF1F07"/>
    <w:rsid w:val="48B225B7"/>
    <w:rsid w:val="48B64E60"/>
    <w:rsid w:val="48B956E0"/>
    <w:rsid w:val="48ED1F47"/>
    <w:rsid w:val="48F12CEE"/>
    <w:rsid w:val="490B6821"/>
    <w:rsid w:val="4937272B"/>
    <w:rsid w:val="4938000E"/>
    <w:rsid w:val="4943682E"/>
    <w:rsid w:val="49593EE0"/>
    <w:rsid w:val="498558F4"/>
    <w:rsid w:val="499424C3"/>
    <w:rsid w:val="4A205F2C"/>
    <w:rsid w:val="4A4E0260"/>
    <w:rsid w:val="4A523E05"/>
    <w:rsid w:val="4A566406"/>
    <w:rsid w:val="4A603492"/>
    <w:rsid w:val="4A610F14"/>
    <w:rsid w:val="4A6F7A71"/>
    <w:rsid w:val="4A896855"/>
    <w:rsid w:val="4ABC3BAC"/>
    <w:rsid w:val="4ACC6911"/>
    <w:rsid w:val="4AFA4A98"/>
    <w:rsid w:val="4B4016F3"/>
    <w:rsid w:val="4B453C14"/>
    <w:rsid w:val="4B727B1B"/>
    <w:rsid w:val="4BB46FD1"/>
    <w:rsid w:val="4BB54D88"/>
    <w:rsid w:val="4C0B1225"/>
    <w:rsid w:val="4C750F78"/>
    <w:rsid w:val="4C86669B"/>
    <w:rsid w:val="4C8E5CA5"/>
    <w:rsid w:val="4C913227"/>
    <w:rsid w:val="4CB6277A"/>
    <w:rsid w:val="4CD242DE"/>
    <w:rsid w:val="4CEB0D0D"/>
    <w:rsid w:val="4D121D34"/>
    <w:rsid w:val="4D517068"/>
    <w:rsid w:val="4D5C75F7"/>
    <w:rsid w:val="4D7A3398"/>
    <w:rsid w:val="4DA229C6"/>
    <w:rsid w:val="4E000105"/>
    <w:rsid w:val="4E0F196E"/>
    <w:rsid w:val="4E5B34CB"/>
    <w:rsid w:val="4E897B66"/>
    <w:rsid w:val="4E8C356D"/>
    <w:rsid w:val="4E8D5D4D"/>
    <w:rsid w:val="4E9D1289"/>
    <w:rsid w:val="4EE53BFB"/>
    <w:rsid w:val="4EEF51A5"/>
    <w:rsid w:val="4EF33F37"/>
    <w:rsid w:val="4F1254C3"/>
    <w:rsid w:val="4F29663B"/>
    <w:rsid w:val="4F2F631B"/>
    <w:rsid w:val="4F3C0010"/>
    <w:rsid w:val="4F4A0C44"/>
    <w:rsid w:val="4F4F517C"/>
    <w:rsid w:val="4F687927"/>
    <w:rsid w:val="4F706F0D"/>
    <w:rsid w:val="4F932A9A"/>
    <w:rsid w:val="4F9C5F67"/>
    <w:rsid w:val="4FA30B36"/>
    <w:rsid w:val="50074FD7"/>
    <w:rsid w:val="50342624"/>
    <w:rsid w:val="50617C70"/>
    <w:rsid w:val="50847496"/>
    <w:rsid w:val="508D0734"/>
    <w:rsid w:val="508F4388"/>
    <w:rsid w:val="5096699C"/>
    <w:rsid w:val="509748C6"/>
    <w:rsid w:val="50B8067E"/>
    <w:rsid w:val="50CE6F9F"/>
    <w:rsid w:val="50F63EA8"/>
    <w:rsid w:val="50F75A6D"/>
    <w:rsid w:val="51191C31"/>
    <w:rsid w:val="511F5AA4"/>
    <w:rsid w:val="513671C8"/>
    <w:rsid w:val="516B0122"/>
    <w:rsid w:val="5173552E"/>
    <w:rsid w:val="51774DB4"/>
    <w:rsid w:val="517A638F"/>
    <w:rsid w:val="517D50F1"/>
    <w:rsid w:val="518122C6"/>
    <w:rsid w:val="51B30CB0"/>
    <w:rsid w:val="51BA56A1"/>
    <w:rsid w:val="51D51D50"/>
    <w:rsid w:val="51E51FEA"/>
    <w:rsid w:val="51EA4273"/>
    <w:rsid w:val="51F73589"/>
    <w:rsid w:val="522378D0"/>
    <w:rsid w:val="52324668"/>
    <w:rsid w:val="523873B8"/>
    <w:rsid w:val="525E29B5"/>
    <w:rsid w:val="52717D1C"/>
    <w:rsid w:val="528A181C"/>
    <w:rsid w:val="52CD3145"/>
    <w:rsid w:val="52EF249C"/>
    <w:rsid w:val="52FF50A3"/>
    <w:rsid w:val="531E1B16"/>
    <w:rsid w:val="535321C1"/>
    <w:rsid w:val="535B7AFB"/>
    <w:rsid w:val="53722A75"/>
    <w:rsid w:val="53A15E6B"/>
    <w:rsid w:val="53C23AF9"/>
    <w:rsid w:val="53D67AD3"/>
    <w:rsid w:val="53F961D2"/>
    <w:rsid w:val="542A2224"/>
    <w:rsid w:val="54322216"/>
    <w:rsid w:val="544A7794"/>
    <w:rsid w:val="544F0576"/>
    <w:rsid w:val="54501BBD"/>
    <w:rsid w:val="545F13F9"/>
    <w:rsid w:val="54766E20"/>
    <w:rsid w:val="547748A2"/>
    <w:rsid w:val="54945582"/>
    <w:rsid w:val="549A5874"/>
    <w:rsid w:val="54C12E33"/>
    <w:rsid w:val="54C77B24"/>
    <w:rsid w:val="54C923B1"/>
    <w:rsid w:val="54D21738"/>
    <w:rsid w:val="551054EB"/>
    <w:rsid w:val="5526593F"/>
    <w:rsid w:val="552F4050"/>
    <w:rsid w:val="553C3366"/>
    <w:rsid w:val="55785749"/>
    <w:rsid w:val="557A6439"/>
    <w:rsid w:val="558A5663"/>
    <w:rsid w:val="559B138A"/>
    <w:rsid w:val="55E404D5"/>
    <w:rsid w:val="55F31810"/>
    <w:rsid w:val="560A4E69"/>
    <w:rsid w:val="56132672"/>
    <w:rsid w:val="564E44A8"/>
    <w:rsid w:val="569B0ED4"/>
    <w:rsid w:val="56B62BD2"/>
    <w:rsid w:val="56B6720F"/>
    <w:rsid w:val="56CE33F3"/>
    <w:rsid w:val="56E865F9"/>
    <w:rsid w:val="573B34DC"/>
    <w:rsid w:val="57401510"/>
    <w:rsid w:val="57420238"/>
    <w:rsid w:val="575514CD"/>
    <w:rsid w:val="57566604"/>
    <w:rsid w:val="57577640"/>
    <w:rsid w:val="575A1224"/>
    <w:rsid w:val="57851F1D"/>
    <w:rsid w:val="57F21DC7"/>
    <w:rsid w:val="57F26D57"/>
    <w:rsid w:val="58036524"/>
    <w:rsid w:val="582C109C"/>
    <w:rsid w:val="583C0450"/>
    <w:rsid w:val="586E14BF"/>
    <w:rsid w:val="588F186B"/>
    <w:rsid w:val="58AD748A"/>
    <w:rsid w:val="58AD7D6B"/>
    <w:rsid w:val="58B96B20"/>
    <w:rsid w:val="58C75E36"/>
    <w:rsid w:val="58CE79BF"/>
    <w:rsid w:val="58FC2A8C"/>
    <w:rsid w:val="591539B6"/>
    <w:rsid w:val="595B14B9"/>
    <w:rsid w:val="598E457A"/>
    <w:rsid w:val="599F5B19"/>
    <w:rsid w:val="59A87627"/>
    <w:rsid w:val="5A2A144C"/>
    <w:rsid w:val="5A4A272E"/>
    <w:rsid w:val="5A687BD7"/>
    <w:rsid w:val="5ABC3E58"/>
    <w:rsid w:val="5ACF2987"/>
    <w:rsid w:val="5AE625AD"/>
    <w:rsid w:val="5B0950EB"/>
    <w:rsid w:val="5B397E38"/>
    <w:rsid w:val="5B4F1FDC"/>
    <w:rsid w:val="5B6F279D"/>
    <w:rsid w:val="5BEC78DC"/>
    <w:rsid w:val="5C0813BB"/>
    <w:rsid w:val="5C1839E9"/>
    <w:rsid w:val="5C2432B9"/>
    <w:rsid w:val="5C2C594B"/>
    <w:rsid w:val="5C603B63"/>
    <w:rsid w:val="5CC93A47"/>
    <w:rsid w:val="5CE31FB3"/>
    <w:rsid w:val="5CF94596"/>
    <w:rsid w:val="5CFC551B"/>
    <w:rsid w:val="5D032927"/>
    <w:rsid w:val="5D080ACC"/>
    <w:rsid w:val="5D25037A"/>
    <w:rsid w:val="5D702D81"/>
    <w:rsid w:val="5D8F6F3F"/>
    <w:rsid w:val="5DCD7DF2"/>
    <w:rsid w:val="5DF16D2C"/>
    <w:rsid w:val="5DF81F3B"/>
    <w:rsid w:val="5E0A56D8"/>
    <w:rsid w:val="5E4C6141"/>
    <w:rsid w:val="5E5830B6"/>
    <w:rsid w:val="5E79378D"/>
    <w:rsid w:val="5E9033B3"/>
    <w:rsid w:val="5EB23621"/>
    <w:rsid w:val="5ECA6000"/>
    <w:rsid w:val="5EE15B23"/>
    <w:rsid w:val="5F102A07"/>
    <w:rsid w:val="5F1B0D98"/>
    <w:rsid w:val="5F1E4324"/>
    <w:rsid w:val="5F5C1159"/>
    <w:rsid w:val="5F8D2114"/>
    <w:rsid w:val="5F93035F"/>
    <w:rsid w:val="5F946831"/>
    <w:rsid w:val="5FA34174"/>
    <w:rsid w:val="5FC03AA5"/>
    <w:rsid w:val="5FF40A7C"/>
    <w:rsid w:val="60503394"/>
    <w:rsid w:val="606737AA"/>
    <w:rsid w:val="60844AE7"/>
    <w:rsid w:val="608B409E"/>
    <w:rsid w:val="60C13F33"/>
    <w:rsid w:val="60E73525"/>
    <w:rsid w:val="60F87024"/>
    <w:rsid w:val="61161572"/>
    <w:rsid w:val="616E24E6"/>
    <w:rsid w:val="61931421"/>
    <w:rsid w:val="61A907DA"/>
    <w:rsid w:val="61BE4069"/>
    <w:rsid w:val="61C21F70"/>
    <w:rsid w:val="61C918FB"/>
    <w:rsid w:val="61CB4DFE"/>
    <w:rsid w:val="61CB5D59"/>
    <w:rsid w:val="61FC0E51"/>
    <w:rsid w:val="61FF3FD4"/>
    <w:rsid w:val="62032AC9"/>
    <w:rsid w:val="625957CD"/>
    <w:rsid w:val="62BC56E3"/>
    <w:rsid w:val="62C87348"/>
    <w:rsid w:val="62D63287"/>
    <w:rsid w:val="62EF34B9"/>
    <w:rsid w:val="62F95EDE"/>
    <w:rsid w:val="62FF1157"/>
    <w:rsid w:val="634001E3"/>
    <w:rsid w:val="63531402"/>
    <w:rsid w:val="638C2861"/>
    <w:rsid w:val="63AE2A15"/>
    <w:rsid w:val="63D909EC"/>
    <w:rsid w:val="63E31B13"/>
    <w:rsid w:val="63F1289C"/>
    <w:rsid w:val="644C405D"/>
    <w:rsid w:val="64B0665A"/>
    <w:rsid w:val="64B300C5"/>
    <w:rsid w:val="651C4271"/>
    <w:rsid w:val="658B7DA8"/>
    <w:rsid w:val="65B87C60"/>
    <w:rsid w:val="65CC54F7"/>
    <w:rsid w:val="65DA25C0"/>
    <w:rsid w:val="661D3BC6"/>
    <w:rsid w:val="66216C5D"/>
    <w:rsid w:val="6626064F"/>
    <w:rsid w:val="663549B3"/>
    <w:rsid w:val="664F4F7E"/>
    <w:rsid w:val="66735B8E"/>
    <w:rsid w:val="667E4DB2"/>
    <w:rsid w:val="66A34FF2"/>
    <w:rsid w:val="66AE6C06"/>
    <w:rsid w:val="66D4616C"/>
    <w:rsid w:val="66F33CD3"/>
    <w:rsid w:val="67477A69"/>
    <w:rsid w:val="67806F5E"/>
    <w:rsid w:val="678F5EF4"/>
    <w:rsid w:val="67A42616"/>
    <w:rsid w:val="67B44AC0"/>
    <w:rsid w:val="67D5446A"/>
    <w:rsid w:val="68012776"/>
    <w:rsid w:val="68073EC9"/>
    <w:rsid w:val="686D205F"/>
    <w:rsid w:val="68A128B9"/>
    <w:rsid w:val="68BB7B14"/>
    <w:rsid w:val="68E1201D"/>
    <w:rsid w:val="68F128DF"/>
    <w:rsid w:val="693B7234"/>
    <w:rsid w:val="699A657E"/>
    <w:rsid w:val="69CE2026"/>
    <w:rsid w:val="69D35E8C"/>
    <w:rsid w:val="69F875E7"/>
    <w:rsid w:val="6A03709F"/>
    <w:rsid w:val="6A5748C2"/>
    <w:rsid w:val="6A921170"/>
    <w:rsid w:val="6A9E5BBC"/>
    <w:rsid w:val="6AA64288"/>
    <w:rsid w:val="6AAD28D9"/>
    <w:rsid w:val="6AB60C9F"/>
    <w:rsid w:val="6ABE7C5E"/>
    <w:rsid w:val="6AC7223E"/>
    <w:rsid w:val="6B02197F"/>
    <w:rsid w:val="6B1A09C3"/>
    <w:rsid w:val="6B20701A"/>
    <w:rsid w:val="6B3063EA"/>
    <w:rsid w:val="6B400C03"/>
    <w:rsid w:val="6B6B2D4C"/>
    <w:rsid w:val="6BB875C8"/>
    <w:rsid w:val="6BC85664"/>
    <w:rsid w:val="6BFD22BB"/>
    <w:rsid w:val="6C39469E"/>
    <w:rsid w:val="6C397FC7"/>
    <w:rsid w:val="6C4504B1"/>
    <w:rsid w:val="6CD81C1E"/>
    <w:rsid w:val="6CE978CE"/>
    <w:rsid w:val="6CF62C08"/>
    <w:rsid w:val="6CF74EF3"/>
    <w:rsid w:val="6D1632C9"/>
    <w:rsid w:val="6D270AA3"/>
    <w:rsid w:val="6D561817"/>
    <w:rsid w:val="6D6C5D15"/>
    <w:rsid w:val="6D710A32"/>
    <w:rsid w:val="6D7A7229"/>
    <w:rsid w:val="6DA24B6A"/>
    <w:rsid w:val="6DF56B72"/>
    <w:rsid w:val="6E146A14"/>
    <w:rsid w:val="6E1C4834"/>
    <w:rsid w:val="6E232EF1"/>
    <w:rsid w:val="6E360C61"/>
    <w:rsid w:val="6E3B14E9"/>
    <w:rsid w:val="6E610B30"/>
    <w:rsid w:val="6E7716CA"/>
    <w:rsid w:val="6E82144F"/>
    <w:rsid w:val="6E8A0C0F"/>
    <w:rsid w:val="6E8C0BE2"/>
    <w:rsid w:val="6EB26818"/>
    <w:rsid w:val="6EB46BCF"/>
    <w:rsid w:val="6EB73A9A"/>
    <w:rsid w:val="6EB766A5"/>
    <w:rsid w:val="6ECF37E2"/>
    <w:rsid w:val="6EDA6A7D"/>
    <w:rsid w:val="6EE75201"/>
    <w:rsid w:val="6EF51F98"/>
    <w:rsid w:val="6F12372D"/>
    <w:rsid w:val="6F165D50"/>
    <w:rsid w:val="6F2B6BEF"/>
    <w:rsid w:val="6F5F347B"/>
    <w:rsid w:val="6F614564"/>
    <w:rsid w:val="6F7F1EFD"/>
    <w:rsid w:val="6FA21C45"/>
    <w:rsid w:val="6FBD0389"/>
    <w:rsid w:val="6FDB6D93"/>
    <w:rsid w:val="700D4FE4"/>
    <w:rsid w:val="70586A83"/>
    <w:rsid w:val="706B2DFF"/>
    <w:rsid w:val="709177BB"/>
    <w:rsid w:val="70921A10"/>
    <w:rsid w:val="70D04FAA"/>
    <w:rsid w:val="71085217"/>
    <w:rsid w:val="710D5413"/>
    <w:rsid w:val="712C7C8C"/>
    <w:rsid w:val="713759CB"/>
    <w:rsid w:val="713E5355"/>
    <w:rsid w:val="71487ACE"/>
    <w:rsid w:val="716952A0"/>
    <w:rsid w:val="718F5267"/>
    <w:rsid w:val="71C165F4"/>
    <w:rsid w:val="72127582"/>
    <w:rsid w:val="722F4B1D"/>
    <w:rsid w:val="72396872"/>
    <w:rsid w:val="72427182"/>
    <w:rsid w:val="724D5513"/>
    <w:rsid w:val="72602955"/>
    <w:rsid w:val="727A40E0"/>
    <w:rsid w:val="72B21830"/>
    <w:rsid w:val="73402061"/>
    <w:rsid w:val="73486686"/>
    <w:rsid w:val="736E0E6D"/>
    <w:rsid w:val="73866514"/>
    <w:rsid w:val="738E3316"/>
    <w:rsid w:val="73C2417B"/>
    <w:rsid w:val="73C66DC3"/>
    <w:rsid w:val="73D14817"/>
    <w:rsid w:val="73D24415"/>
    <w:rsid w:val="7455116B"/>
    <w:rsid w:val="745F6C7C"/>
    <w:rsid w:val="74653984"/>
    <w:rsid w:val="74A55024"/>
    <w:rsid w:val="74AF2AFE"/>
    <w:rsid w:val="74D516B9"/>
    <w:rsid w:val="750072B4"/>
    <w:rsid w:val="751167ED"/>
    <w:rsid w:val="76016C28"/>
    <w:rsid w:val="76695353"/>
    <w:rsid w:val="766B7857"/>
    <w:rsid w:val="76732C9D"/>
    <w:rsid w:val="76921E95"/>
    <w:rsid w:val="769F2D64"/>
    <w:rsid w:val="76A46677"/>
    <w:rsid w:val="76BA05D5"/>
    <w:rsid w:val="76BF0DED"/>
    <w:rsid w:val="76D214FF"/>
    <w:rsid w:val="77131D70"/>
    <w:rsid w:val="7728018A"/>
    <w:rsid w:val="7732281D"/>
    <w:rsid w:val="773A43A6"/>
    <w:rsid w:val="77480F82"/>
    <w:rsid w:val="77492442"/>
    <w:rsid w:val="777F291C"/>
    <w:rsid w:val="778D1C32"/>
    <w:rsid w:val="778F795D"/>
    <w:rsid w:val="77E524BA"/>
    <w:rsid w:val="7805161F"/>
    <w:rsid w:val="78952465"/>
    <w:rsid w:val="78A56E7C"/>
    <w:rsid w:val="78D366C6"/>
    <w:rsid w:val="78E037DD"/>
    <w:rsid w:val="78EA1B6E"/>
    <w:rsid w:val="78F114F9"/>
    <w:rsid w:val="78FB1E09"/>
    <w:rsid w:val="794B1971"/>
    <w:rsid w:val="795821A2"/>
    <w:rsid w:val="7961146B"/>
    <w:rsid w:val="798B53DB"/>
    <w:rsid w:val="79C23DD0"/>
    <w:rsid w:val="79C248BF"/>
    <w:rsid w:val="79E6728C"/>
    <w:rsid w:val="79EE5F19"/>
    <w:rsid w:val="79FB4C9D"/>
    <w:rsid w:val="79FD4ADC"/>
    <w:rsid w:val="7A442306"/>
    <w:rsid w:val="7A6359F5"/>
    <w:rsid w:val="7A83640D"/>
    <w:rsid w:val="7A941198"/>
    <w:rsid w:val="7A982B2F"/>
    <w:rsid w:val="7ACF3E92"/>
    <w:rsid w:val="7B0D056F"/>
    <w:rsid w:val="7B222A93"/>
    <w:rsid w:val="7B315C9C"/>
    <w:rsid w:val="7B432FC7"/>
    <w:rsid w:val="7B585E3C"/>
    <w:rsid w:val="7B680137"/>
    <w:rsid w:val="7B6D768F"/>
    <w:rsid w:val="7B7E06C4"/>
    <w:rsid w:val="7B9052C5"/>
    <w:rsid w:val="7BC703CB"/>
    <w:rsid w:val="7BC86AA4"/>
    <w:rsid w:val="7BFC5DC1"/>
    <w:rsid w:val="7C012DCC"/>
    <w:rsid w:val="7C140848"/>
    <w:rsid w:val="7C140FA4"/>
    <w:rsid w:val="7C2524E2"/>
    <w:rsid w:val="7C585A30"/>
    <w:rsid w:val="7C6159BC"/>
    <w:rsid w:val="7C7E29CD"/>
    <w:rsid w:val="7C815CBD"/>
    <w:rsid w:val="7C9877BF"/>
    <w:rsid w:val="7CD47EDB"/>
    <w:rsid w:val="7CDA6E10"/>
    <w:rsid w:val="7CE1176F"/>
    <w:rsid w:val="7D1513DD"/>
    <w:rsid w:val="7D287965"/>
    <w:rsid w:val="7D314F01"/>
    <w:rsid w:val="7D3746FC"/>
    <w:rsid w:val="7D4F649D"/>
    <w:rsid w:val="7D551EE0"/>
    <w:rsid w:val="7D564C1D"/>
    <w:rsid w:val="7D6F00D9"/>
    <w:rsid w:val="7DAB1DF5"/>
    <w:rsid w:val="7DC616C1"/>
    <w:rsid w:val="7DD2457A"/>
    <w:rsid w:val="7E0E6DE1"/>
    <w:rsid w:val="7E582255"/>
    <w:rsid w:val="7E631894"/>
    <w:rsid w:val="7EA02EFE"/>
    <w:rsid w:val="7EA832D9"/>
    <w:rsid w:val="7EB738F3"/>
    <w:rsid w:val="7ED75578"/>
    <w:rsid w:val="7F0D0A7F"/>
    <w:rsid w:val="7F0F1D84"/>
    <w:rsid w:val="7F151C89"/>
    <w:rsid w:val="7F7E58BB"/>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paragraph" w:customStyle="1" w:styleId="2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4">
    <w:name w:val="List Paragraph"/>
    <w:basedOn w:val="1"/>
    <w:qFormat/>
    <w:uiPriority w:val="34"/>
    <w:pPr>
      <w:spacing w:after="0"/>
      <w:ind w:left="840" w:leftChars="400" w:hanging="1440"/>
    </w:pPr>
    <w:rPr>
      <w:rFonts w:ascii="Times" w:hAnsi="Times" w:eastAsia="Batang"/>
      <w:szCs w:val="24"/>
    </w:rPr>
  </w:style>
  <w:style w:type="table" w:customStyle="1" w:styleId="25">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99"/>
    <w:pPr>
      <w:keepNext/>
      <w:keepLines/>
      <w:spacing w:after="0"/>
    </w:pPr>
    <w:rPr>
      <w:rFonts w:ascii="Arial" w:hAnsi="Arial"/>
      <w:sz w:val="18"/>
    </w:rPr>
  </w:style>
  <w:style w:type="paragraph" w:customStyle="1" w:styleId="30">
    <w:name w:val="B1"/>
    <w:basedOn w:val="15"/>
    <w:qFormat/>
    <w:uiPriority w:val="0"/>
    <w:pPr>
      <w:ind w:left="568" w:hanging="284"/>
    </w:pPr>
  </w:style>
  <w:style w:type="paragraph" w:customStyle="1" w:styleId="31">
    <w:name w:val="EQ"/>
    <w:basedOn w:val="1"/>
    <w:next w:val="1"/>
    <w:qFormat/>
    <w:uiPriority w:val="0"/>
    <w:pPr>
      <w:keepLines/>
      <w:tabs>
        <w:tab w:val="center" w:pos="4536"/>
        <w:tab w:val="right" w:pos="9072"/>
      </w:tabs>
    </w:pPr>
  </w:style>
  <w:style w:type="paragraph" w:customStyle="1" w:styleId="32">
    <w:name w:val="B2"/>
    <w:basedOn w:val="14"/>
    <w:qFormat/>
    <w:uiPriority w:val="0"/>
  </w:style>
  <w:style w:type="paragraph" w:customStyle="1" w:styleId="33">
    <w:name w:val="NO"/>
    <w:basedOn w:val="1"/>
    <w:qFormat/>
    <w:uiPriority w:val="0"/>
    <w:pPr>
      <w:keepLines/>
      <w:ind w:left="1135" w:hanging="851"/>
    </w:pPr>
  </w:style>
  <w:style w:type="character" w:customStyle="1" w:styleId="34">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6">
    <w:name w:val="B4"/>
    <w:basedOn w:val="1"/>
    <w:qFormat/>
    <w:uiPriority w:val="0"/>
    <w:pPr>
      <w:ind w:left="1418" w:hanging="284"/>
    </w:pPr>
  </w:style>
  <w:style w:type="paragraph" w:customStyle="1" w:styleId="37">
    <w:name w:val="B5"/>
    <w:basedOn w:val="1"/>
    <w:qFormat/>
    <w:uiPriority w:val="0"/>
    <w:pPr>
      <w:ind w:left="1702" w:hanging="284"/>
    </w:pPr>
  </w:style>
  <w:style w:type="paragraph" w:customStyle="1" w:styleId="38">
    <w:name w:val="B3"/>
    <w:basedOn w:val="1"/>
    <w:qFormat/>
    <w:uiPriority w:val="0"/>
    <w:pPr>
      <w:ind w:left="1135" w:hanging="284"/>
    </w:pPr>
  </w:style>
  <w:style w:type="paragraph" w:customStyle="1" w:styleId="39">
    <w:name w:val="0 Main text"/>
    <w:basedOn w:val="1"/>
    <w:qFormat/>
    <w:uiPriority w:val="0"/>
    <w:pPr>
      <w:widowControl/>
      <w:spacing w:after="100" w:afterAutospacing="1" w:line="288" w:lineRule="auto"/>
      <w:ind w:firstLine="360"/>
    </w:pPr>
    <w:rPr>
      <w:rFonts w:ascii="Times New Roman" w:hAnsi="Times New Roman" w:eastAsia="Times New Roman"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2024-08-08T11:19:18Z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